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8" w:rsidRDefault="00C85658" w:rsidP="005E5717">
      <w:pPr>
        <w:spacing w:beforeLines="50" w:afterLines="50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鹏鼎控股（深圳）股份有限公司投资者关系活动记录表</w:t>
      </w:r>
    </w:p>
    <w:p w:rsidR="005C6038" w:rsidRDefault="00C85658">
      <w:pPr>
        <w:spacing w:line="360" w:lineRule="auto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编号：2019-0</w:t>
      </w:r>
      <w:r w:rsidR="004A36FE">
        <w:rPr>
          <w:rFonts w:ascii="宋体" w:hAnsi="宋体" w:hint="eastAsia"/>
          <w:bCs/>
          <w:iCs/>
          <w:sz w:val="24"/>
          <w:szCs w:val="24"/>
        </w:rPr>
        <w:t>1</w:t>
      </w:r>
      <w:r w:rsidR="008475AD">
        <w:rPr>
          <w:rFonts w:ascii="宋体" w:hAnsi="宋体" w:hint="eastAsia"/>
          <w:bCs/>
          <w:iCs/>
          <w:sz w:val="24"/>
          <w:szCs w:val="24"/>
        </w:rPr>
        <w:t>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C6038" w:rsidRDefault="005C603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C6038" w:rsidRDefault="00C856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5C6038" w:rsidRDefault="00C85658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1B5CA8" w:rsidRDefault="008475AD" w:rsidP="00C11C2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海通证券：蒋俊              兴全基金：闫兆虎</w:t>
            </w:r>
          </w:p>
          <w:p w:rsidR="008475AD" w:rsidRDefault="008475AD" w:rsidP="00C11C2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易方达基金：杨康            国投瑞银：周宏成</w:t>
            </w:r>
          </w:p>
          <w:p w:rsidR="008475AD" w:rsidRDefault="008475AD" w:rsidP="00C11C2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中银香港资产：朱懿琛       </w:t>
            </w:r>
          </w:p>
          <w:p w:rsidR="008475AD" w:rsidRPr="008475AD" w:rsidRDefault="00BA6DF8" w:rsidP="00C11C2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O</w:t>
            </w:r>
            <w:r w:rsidR="008475AD">
              <w:rPr>
                <w:rFonts w:ascii="宋体" w:hAnsi="宋体" w:hint="eastAsia"/>
                <w:bCs/>
                <w:iCs/>
                <w:sz w:val="24"/>
                <w:szCs w:val="24"/>
              </w:rPr>
              <w:t>CTO  RIVERS：张诗扬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 w:rsidP="004A36F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A36FE"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1538D0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4A36FE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1538D0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C6038" w:rsidRDefault="006A2C89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证券事务代表马丽梅女士</w:t>
            </w:r>
          </w:p>
        </w:tc>
      </w:tr>
      <w:tr w:rsidR="005C6038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5C6038" w:rsidRDefault="005C603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C6F12" w:rsidRDefault="006A2C89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马丽梅女士</w:t>
            </w:r>
            <w:r w:rsidR="00DC6F12">
              <w:rPr>
                <w:rFonts w:ascii="宋体" w:hAnsi="宋体" w:hint="eastAsia"/>
                <w:bCs/>
                <w:iCs/>
                <w:sz w:val="24"/>
                <w:szCs w:val="24"/>
              </w:rPr>
              <w:t>对公司基本情况进行了介绍，然后进行了以下投资者问答。</w:t>
            </w:r>
          </w:p>
          <w:p w:rsidR="00EE526A" w:rsidRDefault="008B5534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、请问公司上半年毛利率提升原因</w:t>
            </w:r>
            <w:r w:rsidR="00EE526A" w:rsidRPr="00740E47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E526A" w:rsidRDefault="00EE526A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答：公司上半年毛利率提升主要是因为</w:t>
            </w:r>
            <w:r w:rsidR="008475AD">
              <w:rPr>
                <w:rFonts w:ascii="宋体" w:hAnsi="宋体" w:hint="eastAsia"/>
                <w:bCs/>
                <w:iCs/>
                <w:sz w:val="24"/>
                <w:szCs w:val="24"/>
              </w:rPr>
              <w:t>产品结构调整、</w:t>
            </w:r>
            <w:r w:rsidRP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成本管</w:t>
            </w:r>
            <w:r w:rsidRPr="00EE526A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控、制程改善、良率提升，幷积极推动自动化致净利润稳定成长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所致</w:t>
            </w:r>
            <w:r w:rsidRP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98147D" w:rsidRDefault="0098147D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2、公司与华为合作主要是哪些产品？</w:t>
            </w:r>
          </w:p>
          <w:p w:rsidR="0098147D" w:rsidRDefault="0098147D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98147D">
              <w:rPr>
                <w:rFonts w:ascii="宋体" w:hAnsi="宋体" w:hint="eastAsia"/>
                <w:bCs/>
                <w:iCs/>
                <w:sz w:val="24"/>
                <w:szCs w:val="24"/>
              </w:rPr>
              <w:t>现阶段公司与华为合作主要为通讯电子产品领域。</w:t>
            </w:r>
          </w:p>
          <w:p w:rsidR="0098147D" w:rsidRDefault="0098147D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3、公司是否考虑进入硬板领域？</w:t>
            </w:r>
          </w:p>
          <w:p w:rsidR="0098147D" w:rsidRDefault="0098147D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答：公司现在就有供应硬板,公司高阶HDI募投项目也属于此领域。</w:t>
            </w:r>
          </w:p>
          <w:p w:rsidR="0098147D" w:rsidRDefault="0098147D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4、公司现阶段产能利用率情况？</w:t>
            </w:r>
          </w:p>
          <w:p w:rsidR="0098147D" w:rsidRDefault="0098147D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答：下半年为公司产品旺季，现阶段满产。</w:t>
            </w:r>
          </w:p>
          <w:p w:rsidR="0098147D" w:rsidRPr="00885A89" w:rsidRDefault="0098147D" w:rsidP="0098147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885A89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、请问公司各产品收入占比情况？</w:t>
            </w:r>
          </w:p>
          <w:p w:rsidR="0098147D" w:rsidRDefault="0098147D" w:rsidP="0098147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85A89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根据公司2018年年度报告,</w:t>
            </w:r>
            <w:r w:rsidRPr="00885A89">
              <w:rPr>
                <w:rFonts w:ascii="宋体" w:hAnsi="宋体" w:hint="eastAsia"/>
                <w:bCs/>
                <w:iCs/>
                <w:sz w:val="24"/>
                <w:szCs w:val="24"/>
              </w:rPr>
              <w:t>FPC收入约占公司营收80%，HDI+RPCB收入约占公司营收15%左右，SLP收入约占公司营收5%左右。</w:t>
            </w:r>
          </w:p>
          <w:p w:rsidR="00EE526A" w:rsidRDefault="0098147D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、请问公司上半年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 w:rsid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营收下降的原因？</w:t>
            </w:r>
          </w:p>
          <w:p w:rsidR="00EE526A" w:rsidRPr="00EE526A" w:rsidRDefault="00EE526A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答：通常来讲公司的营收高峰在三季度及10月、11月，公司</w:t>
            </w:r>
            <w:r w:rsidR="00492CAF"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营收同比下降原因主要为：2017年主要客户于11月发布新机，导致公司当年12月及2018年1月营收基数整体较大。</w:t>
            </w:r>
          </w:p>
          <w:p w:rsidR="00202EC3" w:rsidRPr="00EF3D5A" w:rsidRDefault="0098147D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202EC3"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</w:t>
            </w:r>
            <w:r w:rsid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淮安</w:t>
            </w:r>
            <w:r w:rsidR="00202EC3"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厂区</w:t>
            </w:r>
            <w:r w:rsid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上半年亏损原因</w:t>
            </w:r>
            <w:r w:rsidR="00202EC3"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02EC3" w:rsidRP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因上半年为公司传统淡季，同时受本年下游通讯电子产品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市场需求减少影响，导致子公司庆鼎精密产能利用率较低，因此该公司上半年亏损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>0.91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亿元（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>2018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年同期亏损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>0.47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亿元），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随着下半年公司生产旺季的到来，其产能利用率将</w:t>
            </w:r>
            <w:r w:rsidR="00416CA1">
              <w:rPr>
                <w:rFonts w:ascii="宋体" w:hAnsi="宋体" w:hint="eastAsia"/>
                <w:bCs/>
                <w:iCs/>
                <w:sz w:val="24"/>
                <w:szCs w:val="24"/>
              </w:rPr>
              <w:t>有效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提升。</w:t>
            </w:r>
          </w:p>
          <w:p w:rsidR="00202EC3" w:rsidRDefault="0098147D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、公司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汽车电子方面的规划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97CDD" w:rsidRP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现阶段公司是通过模组厂进入汽车电子领域，公司十分重视未来汽车电子发展，除通过认证合格供应商，也会积极寻求外延式发展的机会。</w:t>
            </w:r>
          </w:p>
          <w:p w:rsidR="00202EC3" w:rsidRDefault="0098147D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bookmarkStart w:id="0" w:name="_Toc5196068"/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请问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FPC汽车用量情况</w:t>
            </w:r>
            <w:r w:rsidR="00202EC3" w:rsidRPr="00740E47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  <w:bookmarkEnd w:id="0"/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目前汽车电子FPC用量不大，但从趋势上来说未来增长前景比较广阔。</w:t>
            </w:r>
          </w:p>
          <w:p w:rsidR="00D2284A" w:rsidRPr="00DC6327" w:rsidRDefault="008475AD" w:rsidP="00D2284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D2284A"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、请问影响公司毛利率的主要因素为？</w:t>
            </w:r>
          </w:p>
          <w:p w:rsidR="00D2284A" w:rsidRDefault="00D2284A" w:rsidP="00D2284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答：影响公司毛利率的主要因素</w:t>
            </w:r>
            <w:r w:rsidR="005E5717"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产能利用率情况</w:t>
            </w:r>
            <w:r w:rsidR="00CD3547"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自动化水平</w:t>
            </w:r>
            <w:r w:rsidR="00BE43DF">
              <w:rPr>
                <w:rFonts w:ascii="宋体" w:hAnsi="宋体" w:hint="eastAsia"/>
                <w:bCs/>
                <w:iCs/>
                <w:sz w:val="24"/>
                <w:szCs w:val="24"/>
              </w:rPr>
              <w:t>、产品结构</w:t>
            </w:r>
            <w:r w:rsidR="00CD3547"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以及良率水平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1C2F70" w:rsidRPr="007C78EF" w:rsidRDefault="001A21B8" w:rsidP="001C2F70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8475AD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C2F70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、请问</w:t>
            </w:r>
            <w:r w:rsidR="001C2F70">
              <w:rPr>
                <w:rFonts w:ascii="宋体" w:hAnsi="宋体" w:hint="eastAsia"/>
                <w:bCs/>
                <w:iCs/>
                <w:sz w:val="24"/>
                <w:szCs w:val="24"/>
              </w:rPr>
              <w:t>贸易战对公司的影响</w:t>
            </w:r>
            <w:r w:rsidR="001C2F70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1C2F70" w:rsidRPr="007C78EF" w:rsidRDefault="001C2F70" w:rsidP="001C2F70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公司评估贸易战税收增加对公司</w:t>
            </w:r>
            <w:r w:rsidR="001A21B8">
              <w:rPr>
                <w:rFonts w:ascii="SimSun" w:hAnsi="SimSun" w:hint="eastAsia"/>
                <w:bCs/>
                <w:iCs/>
                <w:sz w:val="24"/>
                <w:szCs w:val="24"/>
              </w:rPr>
              <w:t>会有一定的影响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，但是公司更</w:t>
            </w:r>
            <w:r w:rsidR="007406FB">
              <w:rPr>
                <w:rFonts w:ascii="SimSun" w:hAnsi="SimSun" w:hint="eastAsia"/>
                <w:bCs/>
                <w:iCs/>
                <w:sz w:val="24"/>
                <w:szCs w:val="24"/>
              </w:rPr>
              <w:t>关注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的是如果贸易战愈演愈烈</w:t>
            </w:r>
            <w:r w:rsidR="001A21B8">
              <w:rPr>
                <w:rFonts w:ascii="SimSun" w:hAnsi="SimSun" w:hint="eastAsia"/>
                <w:bCs/>
                <w:iCs/>
                <w:sz w:val="24"/>
                <w:szCs w:val="24"/>
              </w:rPr>
              <w:t>势必会使全球的经济受到影响，从而影响到市场需求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64339C" w:rsidRPr="007C78EF" w:rsidRDefault="004A36FE" w:rsidP="0064339C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8475AD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64339C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341A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请问支持公司未来发展的驱动力是什么</w:t>
            </w:r>
            <w:r w:rsidR="0064339C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E526A" w:rsidRPr="00492CAF" w:rsidRDefault="0064339C" w:rsidP="00B55D40">
            <w:pPr>
              <w:spacing w:line="360" w:lineRule="auto"/>
              <w:rPr>
                <w:rFonts w:ascii="宋体" w:hAnsiTheme="minorHAnsi"/>
                <w:sz w:val="18"/>
                <w:szCs w:val="18"/>
              </w:rPr>
            </w:pPr>
            <w:r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2341A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公司未来发展的驱动力</w:t>
            </w:r>
            <w:r w:rsidR="007B6159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来自于采用内生式及外延式发展模式</w:t>
            </w:r>
            <w:r w:rsidR="00D2341A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发展新客户及开发新产品，同时</w:t>
            </w:r>
            <w:r w:rsidR="007B6159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紧跟市场的趋势，不断强化</w:t>
            </w:r>
            <w:r w:rsidR="007B6159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lastRenderedPageBreak/>
              <w:t>创新能力及在高端领域与客户的合作能力</w:t>
            </w:r>
            <w:r w:rsidR="00E6334D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5C6038">
        <w:tc>
          <w:tcPr>
            <w:tcW w:w="1908" w:type="dxa"/>
            <w:shd w:val="clear" w:color="auto" w:fill="auto"/>
            <w:vAlign w:val="center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C6038">
        <w:tc>
          <w:tcPr>
            <w:tcW w:w="1908" w:type="dxa"/>
            <w:shd w:val="clear" w:color="auto" w:fill="auto"/>
            <w:vAlign w:val="center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 w:rsidP="00B55D40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B55D40"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C6038" w:rsidRDefault="005C6038" w:rsidP="000159B7">
      <w:pPr>
        <w:spacing w:line="360" w:lineRule="auto"/>
        <w:rPr>
          <w:rFonts w:ascii="宋体" w:hAnsi="宋体"/>
        </w:rPr>
      </w:pPr>
    </w:p>
    <w:sectPr w:rsidR="005C6038" w:rsidSect="000159B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D7" w:rsidRDefault="000423D7" w:rsidP="00420600">
      <w:r>
        <w:separator/>
      </w:r>
    </w:p>
  </w:endnote>
  <w:endnote w:type="continuationSeparator" w:id="0">
    <w:p w:rsidR="000423D7" w:rsidRDefault="000423D7" w:rsidP="0042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D7" w:rsidRDefault="000423D7" w:rsidP="00420600">
      <w:r>
        <w:separator/>
      </w:r>
    </w:p>
  </w:footnote>
  <w:footnote w:type="continuationSeparator" w:id="0">
    <w:p w:rsidR="000423D7" w:rsidRDefault="000423D7" w:rsidP="0042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A0"/>
    <w:rsid w:val="00002165"/>
    <w:rsid w:val="0000284F"/>
    <w:rsid w:val="00005CA1"/>
    <w:rsid w:val="000070CB"/>
    <w:rsid w:val="00010FED"/>
    <w:rsid w:val="00011104"/>
    <w:rsid w:val="000159B7"/>
    <w:rsid w:val="000423D7"/>
    <w:rsid w:val="00045920"/>
    <w:rsid w:val="00052C7D"/>
    <w:rsid w:val="00056995"/>
    <w:rsid w:val="00056C2D"/>
    <w:rsid w:val="00061E84"/>
    <w:rsid w:val="00071CAB"/>
    <w:rsid w:val="000736DD"/>
    <w:rsid w:val="00077A30"/>
    <w:rsid w:val="000947B9"/>
    <w:rsid w:val="000A011D"/>
    <w:rsid w:val="000A1169"/>
    <w:rsid w:val="000A3F91"/>
    <w:rsid w:val="000A6EEF"/>
    <w:rsid w:val="000B531B"/>
    <w:rsid w:val="000C2FB3"/>
    <w:rsid w:val="000D459A"/>
    <w:rsid w:val="000D6DA0"/>
    <w:rsid w:val="000E58F4"/>
    <w:rsid w:val="000E612F"/>
    <w:rsid w:val="000F0C63"/>
    <w:rsid w:val="000F228C"/>
    <w:rsid w:val="000F2EAF"/>
    <w:rsid w:val="000F4558"/>
    <w:rsid w:val="00100F58"/>
    <w:rsid w:val="00101B50"/>
    <w:rsid w:val="00106B5D"/>
    <w:rsid w:val="001071EE"/>
    <w:rsid w:val="00111A29"/>
    <w:rsid w:val="00115021"/>
    <w:rsid w:val="001238A4"/>
    <w:rsid w:val="00135EA4"/>
    <w:rsid w:val="00142122"/>
    <w:rsid w:val="001538D0"/>
    <w:rsid w:val="00172DE1"/>
    <w:rsid w:val="00175D3D"/>
    <w:rsid w:val="00177DFB"/>
    <w:rsid w:val="001910FB"/>
    <w:rsid w:val="001A21B8"/>
    <w:rsid w:val="001A7667"/>
    <w:rsid w:val="001B1C01"/>
    <w:rsid w:val="001B4107"/>
    <w:rsid w:val="001B5CA8"/>
    <w:rsid w:val="001C2F70"/>
    <w:rsid w:val="001C6077"/>
    <w:rsid w:val="001D0B82"/>
    <w:rsid w:val="001D2205"/>
    <w:rsid w:val="001D7584"/>
    <w:rsid w:val="001E49CC"/>
    <w:rsid w:val="001F7E2C"/>
    <w:rsid w:val="00202EC3"/>
    <w:rsid w:val="002075EE"/>
    <w:rsid w:val="0021010F"/>
    <w:rsid w:val="002101F7"/>
    <w:rsid w:val="00212A9E"/>
    <w:rsid w:val="0022184A"/>
    <w:rsid w:val="00221DBD"/>
    <w:rsid w:val="0023245C"/>
    <w:rsid w:val="00243EA5"/>
    <w:rsid w:val="002517A8"/>
    <w:rsid w:val="00252B28"/>
    <w:rsid w:val="0025367A"/>
    <w:rsid w:val="002557A5"/>
    <w:rsid w:val="00282A80"/>
    <w:rsid w:val="00292138"/>
    <w:rsid w:val="0029437E"/>
    <w:rsid w:val="00294BBE"/>
    <w:rsid w:val="00295CDD"/>
    <w:rsid w:val="002A0A4A"/>
    <w:rsid w:val="002A11D7"/>
    <w:rsid w:val="002B64AA"/>
    <w:rsid w:val="002C4D65"/>
    <w:rsid w:val="002C6741"/>
    <w:rsid w:val="002C7375"/>
    <w:rsid w:val="002D20C7"/>
    <w:rsid w:val="002E2A95"/>
    <w:rsid w:val="002E5933"/>
    <w:rsid w:val="002F1637"/>
    <w:rsid w:val="002F3338"/>
    <w:rsid w:val="002F3FB7"/>
    <w:rsid w:val="002F66CE"/>
    <w:rsid w:val="00301B2D"/>
    <w:rsid w:val="0030380F"/>
    <w:rsid w:val="00304FF2"/>
    <w:rsid w:val="00305A27"/>
    <w:rsid w:val="00312D7E"/>
    <w:rsid w:val="00312EE3"/>
    <w:rsid w:val="0031364C"/>
    <w:rsid w:val="00313A5C"/>
    <w:rsid w:val="00313CFA"/>
    <w:rsid w:val="00314C19"/>
    <w:rsid w:val="00322956"/>
    <w:rsid w:val="00322971"/>
    <w:rsid w:val="00330372"/>
    <w:rsid w:val="00331E6D"/>
    <w:rsid w:val="0034226A"/>
    <w:rsid w:val="003432FF"/>
    <w:rsid w:val="003442EB"/>
    <w:rsid w:val="00346EDD"/>
    <w:rsid w:val="00346EF8"/>
    <w:rsid w:val="00350C71"/>
    <w:rsid w:val="00361002"/>
    <w:rsid w:val="00363BF6"/>
    <w:rsid w:val="00364F71"/>
    <w:rsid w:val="0036521B"/>
    <w:rsid w:val="003705EF"/>
    <w:rsid w:val="003708EE"/>
    <w:rsid w:val="00371AD6"/>
    <w:rsid w:val="003813F4"/>
    <w:rsid w:val="00394ADF"/>
    <w:rsid w:val="00396A1A"/>
    <w:rsid w:val="003A2BE9"/>
    <w:rsid w:val="003B0DE2"/>
    <w:rsid w:val="003C2417"/>
    <w:rsid w:val="003D2365"/>
    <w:rsid w:val="003D2B8D"/>
    <w:rsid w:val="003D53AA"/>
    <w:rsid w:val="003E6661"/>
    <w:rsid w:val="003F09E0"/>
    <w:rsid w:val="003F4610"/>
    <w:rsid w:val="003F6698"/>
    <w:rsid w:val="004044FD"/>
    <w:rsid w:val="004068AA"/>
    <w:rsid w:val="00407C55"/>
    <w:rsid w:val="00410E01"/>
    <w:rsid w:val="00416CA1"/>
    <w:rsid w:val="0041772B"/>
    <w:rsid w:val="00420600"/>
    <w:rsid w:val="00423565"/>
    <w:rsid w:val="00423BB4"/>
    <w:rsid w:val="004300E0"/>
    <w:rsid w:val="004320E1"/>
    <w:rsid w:val="004326B7"/>
    <w:rsid w:val="0043716B"/>
    <w:rsid w:val="00437681"/>
    <w:rsid w:val="0044184F"/>
    <w:rsid w:val="004451EB"/>
    <w:rsid w:val="00447110"/>
    <w:rsid w:val="00451EA1"/>
    <w:rsid w:val="00452ABB"/>
    <w:rsid w:val="00460EC7"/>
    <w:rsid w:val="0046317E"/>
    <w:rsid w:val="00473916"/>
    <w:rsid w:val="00492CAF"/>
    <w:rsid w:val="004938A9"/>
    <w:rsid w:val="00496336"/>
    <w:rsid w:val="004A36FE"/>
    <w:rsid w:val="004A5B2E"/>
    <w:rsid w:val="004C579D"/>
    <w:rsid w:val="004D3C52"/>
    <w:rsid w:val="004D5381"/>
    <w:rsid w:val="004E1562"/>
    <w:rsid w:val="005078DF"/>
    <w:rsid w:val="005169AE"/>
    <w:rsid w:val="0052609B"/>
    <w:rsid w:val="0052625F"/>
    <w:rsid w:val="00543C35"/>
    <w:rsid w:val="00550843"/>
    <w:rsid w:val="0056187C"/>
    <w:rsid w:val="00567B7D"/>
    <w:rsid w:val="00576915"/>
    <w:rsid w:val="0058290B"/>
    <w:rsid w:val="005845B1"/>
    <w:rsid w:val="00594E08"/>
    <w:rsid w:val="005A2E18"/>
    <w:rsid w:val="005A67CE"/>
    <w:rsid w:val="005A6F96"/>
    <w:rsid w:val="005B026E"/>
    <w:rsid w:val="005B569E"/>
    <w:rsid w:val="005B644E"/>
    <w:rsid w:val="005C0445"/>
    <w:rsid w:val="005C6038"/>
    <w:rsid w:val="005D6EA0"/>
    <w:rsid w:val="005D74E9"/>
    <w:rsid w:val="005E5717"/>
    <w:rsid w:val="006004FF"/>
    <w:rsid w:val="006019F4"/>
    <w:rsid w:val="0060368E"/>
    <w:rsid w:val="00604742"/>
    <w:rsid w:val="00604A57"/>
    <w:rsid w:val="00607CCC"/>
    <w:rsid w:val="006107A1"/>
    <w:rsid w:val="00611EE1"/>
    <w:rsid w:val="0061469A"/>
    <w:rsid w:val="00621C96"/>
    <w:rsid w:val="00625C42"/>
    <w:rsid w:val="00636BE2"/>
    <w:rsid w:val="006424DA"/>
    <w:rsid w:val="0064339C"/>
    <w:rsid w:val="00643AC5"/>
    <w:rsid w:val="00660E8B"/>
    <w:rsid w:val="00661B01"/>
    <w:rsid w:val="006622C5"/>
    <w:rsid w:val="00662DD2"/>
    <w:rsid w:val="0066750E"/>
    <w:rsid w:val="00672639"/>
    <w:rsid w:val="00673FB9"/>
    <w:rsid w:val="00683447"/>
    <w:rsid w:val="00683E31"/>
    <w:rsid w:val="00685EE7"/>
    <w:rsid w:val="00686524"/>
    <w:rsid w:val="00687705"/>
    <w:rsid w:val="006902E2"/>
    <w:rsid w:val="006A23F3"/>
    <w:rsid w:val="006A2453"/>
    <w:rsid w:val="006A2C89"/>
    <w:rsid w:val="006A3C12"/>
    <w:rsid w:val="006A5D51"/>
    <w:rsid w:val="006B2985"/>
    <w:rsid w:val="006B313E"/>
    <w:rsid w:val="006D384F"/>
    <w:rsid w:val="006D497B"/>
    <w:rsid w:val="006E1452"/>
    <w:rsid w:val="006E19C7"/>
    <w:rsid w:val="006E1E88"/>
    <w:rsid w:val="006F427D"/>
    <w:rsid w:val="006F5849"/>
    <w:rsid w:val="00700076"/>
    <w:rsid w:val="00700A60"/>
    <w:rsid w:val="0070244C"/>
    <w:rsid w:val="007043CD"/>
    <w:rsid w:val="00705A2D"/>
    <w:rsid w:val="0071062B"/>
    <w:rsid w:val="00712CA7"/>
    <w:rsid w:val="00721C54"/>
    <w:rsid w:val="00723F68"/>
    <w:rsid w:val="00725DBC"/>
    <w:rsid w:val="00731B76"/>
    <w:rsid w:val="00733717"/>
    <w:rsid w:val="00734588"/>
    <w:rsid w:val="00735EBA"/>
    <w:rsid w:val="007361C4"/>
    <w:rsid w:val="007406FB"/>
    <w:rsid w:val="00740798"/>
    <w:rsid w:val="00740E47"/>
    <w:rsid w:val="0074261C"/>
    <w:rsid w:val="00747C82"/>
    <w:rsid w:val="00747E86"/>
    <w:rsid w:val="00750AC7"/>
    <w:rsid w:val="00752988"/>
    <w:rsid w:val="0075426E"/>
    <w:rsid w:val="00755D6B"/>
    <w:rsid w:val="00765167"/>
    <w:rsid w:val="0078061B"/>
    <w:rsid w:val="00783134"/>
    <w:rsid w:val="007862F0"/>
    <w:rsid w:val="00791DC8"/>
    <w:rsid w:val="00797599"/>
    <w:rsid w:val="007A7542"/>
    <w:rsid w:val="007B3510"/>
    <w:rsid w:val="007B5098"/>
    <w:rsid w:val="007B6159"/>
    <w:rsid w:val="007C1FC8"/>
    <w:rsid w:val="007C4C41"/>
    <w:rsid w:val="007C78A9"/>
    <w:rsid w:val="007C78EF"/>
    <w:rsid w:val="007E4CD2"/>
    <w:rsid w:val="007F2AD2"/>
    <w:rsid w:val="007F343B"/>
    <w:rsid w:val="0080080D"/>
    <w:rsid w:val="00802A93"/>
    <w:rsid w:val="0081032E"/>
    <w:rsid w:val="0081311C"/>
    <w:rsid w:val="00817833"/>
    <w:rsid w:val="00845844"/>
    <w:rsid w:val="008475AD"/>
    <w:rsid w:val="00850C4B"/>
    <w:rsid w:val="00852CE1"/>
    <w:rsid w:val="00852EBD"/>
    <w:rsid w:val="008541C1"/>
    <w:rsid w:val="008560FC"/>
    <w:rsid w:val="0085733C"/>
    <w:rsid w:val="00857FF4"/>
    <w:rsid w:val="00860362"/>
    <w:rsid w:val="00874F78"/>
    <w:rsid w:val="0087611E"/>
    <w:rsid w:val="00880DBD"/>
    <w:rsid w:val="00881C2E"/>
    <w:rsid w:val="00883423"/>
    <w:rsid w:val="00883C08"/>
    <w:rsid w:val="008A00FA"/>
    <w:rsid w:val="008A79A8"/>
    <w:rsid w:val="008B0A03"/>
    <w:rsid w:val="008B45AA"/>
    <w:rsid w:val="008B5534"/>
    <w:rsid w:val="008B7EFF"/>
    <w:rsid w:val="008C7E48"/>
    <w:rsid w:val="008D0F51"/>
    <w:rsid w:val="008D13D2"/>
    <w:rsid w:val="008D16FF"/>
    <w:rsid w:val="008D41D1"/>
    <w:rsid w:val="008D5AC6"/>
    <w:rsid w:val="008D61AE"/>
    <w:rsid w:val="008D675E"/>
    <w:rsid w:val="008E1A04"/>
    <w:rsid w:val="008E64E0"/>
    <w:rsid w:val="008E7ABC"/>
    <w:rsid w:val="008F7BBC"/>
    <w:rsid w:val="008F7EA7"/>
    <w:rsid w:val="0090701C"/>
    <w:rsid w:val="009171FC"/>
    <w:rsid w:val="00923CB1"/>
    <w:rsid w:val="00926C8A"/>
    <w:rsid w:val="00927A4E"/>
    <w:rsid w:val="00930EAD"/>
    <w:rsid w:val="009359F0"/>
    <w:rsid w:val="0094526C"/>
    <w:rsid w:val="009476BF"/>
    <w:rsid w:val="00952D8F"/>
    <w:rsid w:val="00952FAA"/>
    <w:rsid w:val="009636ED"/>
    <w:rsid w:val="00964FD7"/>
    <w:rsid w:val="00972A88"/>
    <w:rsid w:val="00975D00"/>
    <w:rsid w:val="00980C58"/>
    <w:rsid w:val="0098147D"/>
    <w:rsid w:val="00986F01"/>
    <w:rsid w:val="009874D5"/>
    <w:rsid w:val="00987FB8"/>
    <w:rsid w:val="00991219"/>
    <w:rsid w:val="009A0285"/>
    <w:rsid w:val="009A0EEB"/>
    <w:rsid w:val="009A437E"/>
    <w:rsid w:val="009A6C69"/>
    <w:rsid w:val="009A7C29"/>
    <w:rsid w:val="009B04D2"/>
    <w:rsid w:val="009B0E2E"/>
    <w:rsid w:val="009B2D15"/>
    <w:rsid w:val="009B3938"/>
    <w:rsid w:val="009B65C9"/>
    <w:rsid w:val="009C7D72"/>
    <w:rsid w:val="009D4B55"/>
    <w:rsid w:val="009E02FE"/>
    <w:rsid w:val="009F6D2D"/>
    <w:rsid w:val="00A023AB"/>
    <w:rsid w:val="00A11D23"/>
    <w:rsid w:val="00A21B56"/>
    <w:rsid w:val="00A2298F"/>
    <w:rsid w:val="00A25748"/>
    <w:rsid w:val="00A3658E"/>
    <w:rsid w:val="00A37A6C"/>
    <w:rsid w:val="00A40154"/>
    <w:rsid w:val="00A4110E"/>
    <w:rsid w:val="00A4167E"/>
    <w:rsid w:val="00A42138"/>
    <w:rsid w:val="00A42BCF"/>
    <w:rsid w:val="00A43974"/>
    <w:rsid w:val="00A444B3"/>
    <w:rsid w:val="00A44732"/>
    <w:rsid w:val="00A468DA"/>
    <w:rsid w:val="00A46F2D"/>
    <w:rsid w:val="00A47E8E"/>
    <w:rsid w:val="00A50056"/>
    <w:rsid w:val="00A624CB"/>
    <w:rsid w:val="00A62CB6"/>
    <w:rsid w:val="00A64D7A"/>
    <w:rsid w:val="00A66234"/>
    <w:rsid w:val="00A7385A"/>
    <w:rsid w:val="00A73F1D"/>
    <w:rsid w:val="00A7421A"/>
    <w:rsid w:val="00A77984"/>
    <w:rsid w:val="00A835ED"/>
    <w:rsid w:val="00A83F1B"/>
    <w:rsid w:val="00AA2952"/>
    <w:rsid w:val="00AA398C"/>
    <w:rsid w:val="00AA66A4"/>
    <w:rsid w:val="00AC1013"/>
    <w:rsid w:val="00AC2BEE"/>
    <w:rsid w:val="00AC3E76"/>
    <w:rsid w:val="00AD00EE"/>
    <w:rsid w:val="00AE2ADE"/>
    <w:rsid w:val="00AE3E54"/>
    <w:rsid w:val="00AE7034"/>
    <w:rsid w:val="00AE752E"/>
    <w:rsid w:val="00AF39BE"/>
    <w:rsid w:val="00B052A7"/>
    <w:rsid w:val="00B227DF"/>
    <w:rsid w:val="00B345B7"/>
    <w:rsid w:val="00B4141A"/>
    <w:rsid w:val="00B41D92"/>
    <w:rsid w:val="00B46501"/>
    <w:rsid w:val="00B51530"/>
    <w:rsid w:val="00B55D40"/>
    <w:rsid w:val="00B60946"/>
    <w:rsid w:val="00B62F17"/>
    <w:rsid w:val="00B74A8D"/>
    <w:rsid w:val="00B827E9"/>
    <w:rsid w:val="00B85DFC"/>
    <w:rsid w:val="00B86E38"/>
    <w:rsid w:val="00B93230"/>
    <w:rsid w:val="00B97CDD"/>
    <w:rsid w:val="00BA001E"/>
    <w:rsid w:val="00BA6DF8"/>
    <w:rsid w:val="00BC24E8"/>
    <w:rsid w:val="00BC5376"/>
    <w:rsid w:val="00BD035B"/>
    <w:rsid w:val="00BE2622"/>
    <w:rsid w:val="00BE43DF"/>
    <w:rsid w:val="00BF4592"/>
    <w:rsid w:val="00C06312"/>
    <w:rsid w:val="00C0676C"/>
    <w:rsid w:val="00C115AC"/>
    <w:rsid w:val="00C11615"/>
    <w:rsid w:val="00C11C2D"/>
    <w:rsid w:val="00C13119"/>
    <w:rsid w:val="00C23E5D"/>
    <w:rsid w:val="00C33873"/>
    <w:rsid w:val="00C429E8"/>
    <w:rsid w:val="00C42A75"/>
    <w:rsid w:val="00C450B7"/>
    <w:rsid w:val="00C46CD5"/>
    <w:rsid w:val="00C54F33"/>
    <w:rsid w:val="00C57CB2"/>
    <w:rsid w:val="00C63765"/>
    <w:rsid w:val="00C721EB"/>
    <w:rsid w:val="00C76410"/>
    <w:rsid w:val="00C815AB"/>
    <w:rsid w:val="00C82272"/>
    <w:rsid w:val="00C82A20"/>
    <w:rsid w:val="00C85658"/>
    <w:rsid w:val="00C911AC"/>
    <w:rsid w:val="00C93A70"/>
    <w:rsid w:val="00CA28F1"/>
    <w:rsid w:val="00CA42F2"/>
    <w:rsid w:val="00CC5752"/>
    <w:rsid w:val="00CC76DF"/>
    <w:rsid w:val="00CD0031"/>
    <w:rsid w:val="00CD179E"/>
    <w:rsid w:val="00CD28D7"/>
    <w:rsid w:val="00CD3547"/>
    <w:rsid w:val="00CD7490"/>
    <w:rsid w:val="00CE19C6"/>
    <w:rsid w:val="00CE7E56"/>
    <w:rsid w:val="00CF02CF"/>
    <w:rsid w:val="00CF27DA"/>
    <w:rsid w:val="00D119FE"/>
    <w:rsid w:val="00D12703"/>
    <w:rsid w:val="00D12BE3"/>
    <w:rsid w:val="00D2284A"/>
    <w:rsid w:val="00D2341A"/>
    <w:rsid w:val="00D23DBD"/>
    <w:rsid w:val="00D24693"/>
    <w:rsid w:val="00D278C5"/>
    <w:rsid w:val="00D4426D"/>
    <w:rsid w:val="00D44A7A"/>
    <w:rsid w:val="00D455E8"/>
    <w:rsid w:val="00D469A3"/>
    <w:rsid w:val="00D54158"/>
    <w:rsid w:val="00D62318"/>
    <w:rsid w:val="00D66426"/>
    <w:rsid w:val="00D66F80"/>
    <w:rsid w:val="00D6774C"/>
    <w:rsid w:val="00D73914"/>
    <w:rsid w:val="00D87F3C"/>
    <w:rsid w:val="00D93ECB"/>
    <w:rsid w:val="00D978C6"/>
    <w:rsid w:val="00DA58E0"/>
    <w:rsid w:val="00DA773F"/>
    <w:rsid w:val="00DA7A92"/>
    <w:rsid w:val="00DB16A1"/>
    <w:rsid w:val="00DB428E"/>
    <w:rsid w:val="00DB7D45"/>
    <w:rsid w:val="00DC262E"/>
    <w:rsid w:val="00DC3157"/>
    <w:rsid w:val="00DC6327"/>
    <w:rsid w:val="00DC6F12"/>
    <w:rsid w:val="00DE0ED5"/>
    <w:rsid w:val="00DE2C23"/>
    <w:rsid w:val="00DE2E7E"/>
    <w:rsid w:val="00DE515F"/>
    <w:rsid w:val="00DF0B12"/>
    <w:rsid w:val="00DF2D36"/>
    <w:rsid w:val="00E0235F"/>
    <w:rsid w:val="00E038F3"/>
    <w:rsid w:val="00E079E9"/>
    <w:rsid w:val="00E13234"/>
    <w:rsid w:val="00E270D0"/>
    <w:rsid w:val="00E3598E"/>
    <w:rsid w:val="00E370CD"/>
    <w:rsid w:val="00E4311E"/>
    <w:rsid w:val="00E44603"/>
    <w:rsid w:val="00E53323"/>
    <w:rsid w:val="00E6097E"/>
    <w:rsid w:val="00E6099D"/>
    <w:rsid w:val="00E6334D"/>
    <w:rsid w:val="00E819B2"/>
    <w:rsid w:val="00E81F77"/>
    <w:rsid w:val="00E93E0F"/>
    <w:rsid w:val="00E95F21"/>
    <w:rsid w:val="00EA0328"/>
    <w:rsid w:val="00EA2957"/>
    <w:rsid w:val="00EA6C6B"/>
    <w:rsid w:val="00EB25B8"/>
    <w:rsid w:val="00EC38F3"/>
    <w:rsid w:val="00ED550B"/>
    <w:rsid w:val="00EE10E8"/>
    <w:rsid w:val="00EE4B9C"/>
    <w:rsid w:val="00EE526A"/>
    <w:rsid w:val="00EF12C5"/>
    <w:rsid w:val="00EF183D"/>
    <w:rsid w:val="00EF29A5"/>
    <w:rsid w:val="00EF3D5A"/>
    <w:rsid w:val="00EF5545"/>
    <w:rsid w:val="00EF795C"/>
    <w:rsid w:val="00F00C4C"/>
    <w:rsid w:val="00F014CD"/>
    <w:rsid w:val="00F048D9"/>
    <w:rsid w:val="00F147BE"/>
    <w:rsid w:val="00F14F9B"/>
    <w:rsid w:val="00F156B2"/>
    <w:rsid w:val="00F22453"/>
    <w:rsid w:val="00F23714"/>
    <w:rsid w:val="00F25746"/>
    <w:rsid w:val="00F32391"/>
    <w:rsid w:val="00F32ECB"/>
    <w:rsid w:val="00F502AE"/>
    <w:rsid w:val="00F51393"/>
    <w:rsid w:val="00F547EB"/>
    <w:rsid w:val="00F57558"/>
    <w:rsid w:val="00F6581E"/>
    <w:rsid w:val="00F671E5"/>
    <w:rsid w:val="00F71FA2"/>
    <w:rsid w:val="00F83F06"/>
    <w:rsid w:val="00F94EBD"/>
    <w:rsid w:val="00F95E25"/>
    <w:rsid w:val="00FA5660"/>
    <w:rsid w:val="00FB5956"/>
    <w:rsid w:val="00FC0DEC"/>
    <w:rsid w:val="00FD5302"/>
    <w:rsid w:val="00FD6639"/>
    <w:rsid w:val="00FE0C55"/>
    <w:rsid w:val="00FF1621"/>
    <w:rsid w:val="00FF59EE"/>
    <w:rsid w:val="00FF6163"/>
    <w:rsid w:val="154C69DC"/>
    <w:rsid w:val="36C206D3"/>
    <w:rsid w:val="771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a6">
    <w:name w:val="頁首 字元"/>
    <w:basedOn w:val="a0"/>
    <w:link w:val="a5"/>
    <w:uiPriority w:val="99"/>
    <w:semiHidden/>
    <w:rsid w:val="005C6038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5C6038"/>
    <w:rPr>
      <w:sz w:val="20"/>
      <w:szCs w:val="20"/>
    </w:rPr>
  </w:style>
  <w:style w:type="paragraph" w:styleId="a7">
    <w:name w:val="List Paragraph"/>
    <w:basedOn w:val="a"/>
    <w:uiPriority w:val="34"/>
    <w:qFormat/>
    <w:rsid w:val="005C6038"/>
    <w:pPr>
      <w:ind w:leftChars="200" w:left="480"/>
    </w:pPr>
  </w:style>
  <w:style w:type="paragraph" w:customStyle="1" w:styleId="Default">
    <w:name w:val="Default"/>
    <w:qFormat/>
    <w:rsid w:val="005C60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4120E-45E3-4C42-8801-25706A81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4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g1896660</dc:creator>
  <cp:lastModifiedBy>g1896660</cp:lastModifiedBy>
  <cp:revision>314</cp:revision>
  <cp:lastPrinted>2019-08-30T03:42:00Z</cp:lastPrinted>
  <dcterms:created xsi:type="dcterms:W3CDTF">2018-09-27T07:58:00Z</dcterms:created>
  <dcterms:modified xsi:type="dcterms:W3CDTF">2019-08-30T07:12:00Z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