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81" w:rsidRDefault="00027A81" w:rsidP="00027A81">
      <w:pPr>
        <w:widowControl/>
        <w:spacing w:before="100" w:beforeAutospacing="1" w:after="100" w:afterAutospacing="1"/>
        <w:jc w:val="lef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证券代码：002732                                  证券简称：燕塘乳业</w:t>
      </w:r>
    </w:p>
    <w:p w:rsidR="00027A81" w:rsidRDefault="00027A81" w:rsidP="00027A8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kern w:val="0"/>
          <w:sz w:val="28"/>
          <w:szCs w:val="21"/>
        </w:rPr>
        <w:t>广东燕塘乳业</w:t>
      </w:r>
      <w:r>
        <w:rPr>
          <w:rFonts w:ascii="宋体" w:hAnsi="宋体" w:cs="宋体"/>
          <w:b/>
          <w:bCs/>
          <w:kern w:val="0"/>
          <w:sz w:val="28"/>
          <w:szCs w:val="21"/>
        </w:rPr>
        <w:t>股份有限公司投资者关系活动记录表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7040"/>
      </w:tblGrid>
      <w:tr w:rsidR="00027A81" w:rsidTr="00CA0ED7">
        <w:trPr>
          <w:tblCellSpacing w:w="0" w:type="dxa"/>
        </w:trPr>
        <w:tc>
          <w:tcPr>
            <w:tcW w:w="772" w:type="pct"/>
            <w:vAlign w:val="center"/>
          </w:tcPr>
          <w:p w:rsidR="00027A81" w:rsidRDefault="00027A81" w:rsidP="006D2C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4228" w:type="pct"/>
          </w:tcPr>
          <w:p w:rsidR="00027A81" w:rsidRDefault="00027A81" w:rsidP="006D2CD8">
            <w:pPr>
              <w:widowControl/>
              <w:spacing w:line="48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D84">
              <w:rPr>
                <w:rFonts w:ascii="MS Mincho" w:eastAsia="MS Mincho" w:hAnsi="MS Mincho" w:cs="MS Mincho" w:hint="eastAsia"/>
                <w:b/>
                <w:kern w:val="0"/>
                <w:sz w:val="24"/>
                <w:szCs w:val="24"/>
              </w:rPr>
              <w:t>☑</w:t>
            </w:r>
            <w:r w:rsidRPr="00CE0D84">
              <w:rPr>
                <w:rFonts w:ascii="宋体" w:hAnsi="宋体" w:cs="宋体"/>
                <w:b/>
                <w:kern w:val="0"/>
                <w:sz w:val="24"/>
                <w:szCs w:val="24"/>
              </w:rPr>
              <w:t>特定对象调研</w:t>
            </w:r>
            <w:r w:rsidRPr="004B0249">
              <w:rPr>
                <w:rFonts w:ascii="宋体" w:hAnsi="宋体" w:cs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□分析师会议</w:t>
            </w:r>
          </w:p>
          <w:p w:rsidR="00027A81" w:rsidRPr="00FD26C7" w:rsidRDefault="00027A81" w:rsidP="006D2CD8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26C7">
              <w:rPr>
                <w:rFonts w:ascii="宋体" w:hAnsi="宋体" w:cs="宋体"/>
                <w:kern w:val="0"/>
                <w:sz w:val="24"/>
                <w:szCs w:val="24"/>
              </w:rPr>
              <w:t>□媒体采访         □业绩说明会</w:t>
            </w:r>
          </w:p>
          <w:p w:rsidR="00027A81" w:rsidRPr="00FD26C7" w:rsidRDefault="00027A81" w:rsidP="006D2CD8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26C7">
              <w:rPr>
                <w:rFonts w:ascii="宋体" w:hAnsi="宋体" w:cs="宋体"/>
                <w:kern w:val="0"/>
                <w:sz w:val="24"/>
                <w:szCs w:val="24"/>
              </w:rPr>
              <w:t>□新闻发布会        </w:t>
            </w:r>
            <w:r w:rsidRPr="00FD26C7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FD26C7">
              <w:rPr>
                <w:rFonts w:ascii="宋体" w:hAnsi="宋体" w:cs="宋体"/>
                <w:kern w:val="0"/>
                <w:sz w:val="24"/>
                <w:szCs w:val="24"/>
              </w:rPr>
              <w:t>路演活动</w:t>
            </w:r>
          </w:p>
          <w:p w:rsidR="00027A81" w:rsidRDefault="003C40EF" w:rsidP="006D2CD8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26C7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027A81" w:rsidRPr="00FD26C7">
              <w:rPr>
                <w:rFonts w:ascii="宋体" w:hAnsi="宋体" w:cs="宋体"/>
                <w:kern w:val="0"/>
                <w:sz w:val="24"/>
                <w:szCs w:val="24"/>
              </w:rPr>
              <w:t>现场参观   </w:t>
            </w:r>
            <w:r w:rsidR="00027A81">
              <w:rPr>
                <w:rFonts w:ascii="宋体" w:hAnsi="宋体" w:cs="宋体"/>
                <w:kern w:val="0"/>
                <w:sz w:val="24"/>
                <w:szCs w:val="24"/>
              </w:rPr>
              <w:t>    </w:t>
            </w:r>
            <w:r w:rsidR="00027A8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027A81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 w:rsidR="00027A81" w:rsidRPr="004B0249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027A81"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  <w:r w:rsidR="00027A8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27A8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27A81" w:rsidTr="00CA0ED7">
        <w:trPr>
          <w:trHeight w:val="2195"/>
          <w:tblCellSpacing w:w="0" w:type="dxa"/>
        </w:trPr>
        <w:tc>
          <w:tcPr>
            <w:tcW w:w="772" w:type="pct"/>
            <w:vAlign w:val="center"/>
          </w:tcPr>
          <w:p w:rsidR="00027A81" w:rsidRDefault="00027A81" w:rsidP="00CA0E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参与单位名称及人员</w:t>
            </w:r>
          </w:p>
        </w:tc>
        <w:tc>
          <w:tcPr>
            <w:tcW w:w="4228" w:type="pct"/>
          </w:tcPr>
          <w:p w:rsidR="00CA0ED7" w:rsidRP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国金证券股份有限公司  卢周伟、蒲向阳</w:t>
            </w:r>
          </w:p>
          <w:p w:rsidR="00CA0ED7" w:rsidRP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德邦证券股份有限公司  张梦甜</w:t>
            </w:r>
          </w:p>
          <w:p w:rsidR="00CA0ED7" w:rsidRP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北京衍航投资管理有限公司  张家庆</w:t>
            </w:r>
          </w:p>
          <w:p w:rsidR="00CA0ED7" w:rsidRP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西藏源乘投资管理有限公司  李婷婷</w:t>
            </w:r>
          </w:p>
          <w:p w:rsidR="00CA0ED7" w:rsidRP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上海途灵资产管理有限公司  王鹏</w:t>
            </w:r>
          </w:p>
          <w:p w:rsidR="00027A81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上海睿信投资管理有限公司  徐琳</w:t>
            </w:r>
          </w:p>
        </w:tc>
      </w:tr>
      <w:tr w:rsidR="00027A81" w:rsidTr="00CA0ED7">
        <w:trPr>
          <w:trHeight w:val="447"/>
          <w:tblCellSpacing w:w="0" w:type="dxa"/>
        </w:trPr>
        <w:tc>
          <w:tcPr>
            <w:tcW w:w="772" w:type="pct"/>
            <w:vAlign w:val="center"/>
          </w:tcPr>
          <w:p w:rsidR="00027A81" w:rsidRDefault="00027A81" w:rsidP="006D2C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28" w:type="pct"/>
            <w:vAlign w:val="center"/>
          </w:tcPr>
          <w:p w:rsidR="00027A81" w:rsidRDefault="00027A81" w:rsidP="00CA0ED7">
            <w:pPr>
              <w:widowControl/>
              <w:spacing w:line="480" w:lineRule="exact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 w:rsidR="00CA0ED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CA0ED7">
              <w:rPr>
                <w:rFonts w:ascii="宋体" w:hAnsi="宋体" w:cs="宋体" w:hint="eastAsia"/>
                <w:kern w:val="0"/>
                <w:sz w:val="24"/>
                <w:szCs w:val="24"/>
              </w:rPr>
              <w:t>年8月29日 10：00—11：15</w:t>
            </w:r>
          </w:p>
        </w:tc>
      </w:tr>
      <w:tr w:rsidR="00027A81" w:rsidRPr="00A67ACA" w:rsidTr="00CA0ED7">
        <w:trPr>
          <w:trHeight w:val="387"/>
          <w:tblCellSpacing w:w="0" w:type="dxa"/>
        </w:trPr>
        <w:tc>
          <w:tcPr>
            <w:tcW w:w="772" w:type="pct"/>
            <w:vAlign w:val="center"/>
          </w:tcPr>
          <w:p w:rsidR="00027A81" w:rsidRDefault="00027A81" w:rsidP="006D2C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228" w:type="pct"/>
            <w:vAlign w:val="center"/>
          </w:tcPr>
          <w:p w:rsidR="00027A81" w:rsidRPr="00A67ACA" w:rsidRDefault="00027A81" w:rsidP="00EA054D">
            <w:pPr>
              <w:widowControl/>
              <w:spacing w:line="480" w:lineRule="exact"/>
              <w:ind w:firstLine="20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7A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EA054D" w:rsidRPr="00A67ACA"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="007C38A4" w:rsidRPr="00A67ACA">
              <w:rPr>
                <w:rFonts w:ascii="宋体" w:hAnsi="宋体" w:cs="宋体" w:hint="eastAsia"/>
                <w:kern w:val="0"/>
                <w:sz w:val="24"/>
                <w:szCs w:val="24"/>
              </w:rPr>
              <w:t>五楼会议室</w:t>
            </w:r>
          </w:p>
        </w:tc>
      </w:tr>
      <w:tr w:rsidR="00027A81" w:rsidTr="00CA0ED7">
        <w:trPr>
          <w:trHeight w:val="1120"/>
          <w:tblCellSpacing w:w="0" w:type="dxa"/>
        </w:trPr>
        <w:tc>
          <w:tcPr>
            <w:tcW w:w="772" w:type="pct"/>
            <w:vAlign w:val="center"/>
          </w:tcPr>
          <w:p w:rsidR="00CA0ED7" w:rsidRDefault="00027A81" w:rsidP="00771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上市公司</w:t>
            </w:r>
          </w:p>
          <w:p w:rsidR="00027A81" w:rsidRDefault="00027A81" w:rsidP="00771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接待人员</w:t>
            </w:r>
          </w:p>
        </w:tc>
        <w:tc>
          <w:tcPr>
            <w:tcW w:w="4228" w:type="pct"/>
          </w:tcPr>
          <w:p w:rsid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副总经理兼董事会秘书：李春锋</w:t>
            </w:r>
          </w:p>
          <w:p w:rsidR="00CA0ED7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证券事务代表：王欢欢</w:t>
            </w:r>
          </w:p>
          <w:p w:rsidR="00027A81" w:rsidRDefault="00CA0ED7" w:rsidP="00CA0ED7">
            <w:pPr>
              <w:spacing w:line="4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工作人员：包洋</w:t>
            </w:r>
          </w:p>
        </w:tc>
      </w:tr>
      <w:tr w:rsidR="002E2B8C" w:rsidTr="00CA0ED7">
        <w:trPr>
          <w:tblCellSpacing w:w="0" w:type="dxa"/>
        </w:trPr>
        <w:tc>
          <w:tcPr>
            <w:tcW w:w="772" w:type="pct"/>
            <w:vAlign w:val="center"/>
          </w:tcPr>
          <w:p w:rsidR="002E2B8C" w:rsidRDefault="002E2B8C" w:rsidP="002E2B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4228" w:type="pct"/>
          </w:tcPr>
          <w:p w:rsidR="002E2B8C" w:rsidRDefault="002E2B8C" w:rsidP="002E2B8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 w:rsidR="00BF3646">
              <w:rPr>
                <w:rFonts w:ascii="宋体" w:hAnsi="宋体" w:hint="eastAsia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F3646">
              <w:rPr>
                <w:rFonts w:ascii="宋体" w:hAnsi="宋体" w:hint="eastAsia"/>
                <w:sz w:val="24"/>
                <w:szCs w:val="24"/>
              </w:rPr>
              <w:t>李春锋先生</w:t>
            </w:r>
            <w:r>
              <w:rPr>
                <w:rFonts w:ascii="宋体" w:hAnsi="宋体" w:hint="eastAsia"/>
                <w:sz w:val="24"/>
                <w:szCs w:val="24"/>
              </w:rPr>
              <w:t>宣布沟通会正式开始，介绍</w:t>
            </w:r>
            <w:r>
              <w:rPr>
                <w:rFonts w:ascii="宋体" w:hAnsi="宋体"/>
                <w:sz w:val="24"/>
                <w:szCs w:val="24"/>
              </w:rPr>
              <w:t>公司基本情况，</w:t>
            </w:r>
            <w:r>
              <w:rPr>
                <w:rFonts w:ascii="宋体" w:hAnsi="宋体" w:hint="eastAsia"/>
                <w:sz w:val="24"/>
                <w:szCs w:val="24"/>
              </w:rPr>
              <w:t>播放公司宣传片。</w:t>
            </w:r>
          </w:p>
          <w:p w:rsidR="002E2B8C" w:rsidRDefault="002E2B8C" w:rsidP="002E2B8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 w:rsidRPr="00645591">
              <w:rPr>
                <w:rFonts w:ascii="宋体" w:hAnsi="宋体" w:hint="eastAsia"/>
                <w:sz w:val="24"/>
                <w:szCs w:val="24"/>
              </w:rPr>
              <w:t>:</w:t>
            </w:r>
            <w:r w:rsidR="00BF3646">
              <w:rPr>
                <w:rFonts w:ascii="宋体" w:hAnsi="宋体" w:hint="eastAsia"/>
                <w:sz w:val="24"/>
                <w:szCs w:val="24"/>
              </w:rPr>
              <w:t>2</w:t>
            </w:r>
            <w:r w:rsidRPr="00645591">
              <w:rPr>
                <w:rFonts w:ascii="宋体" w:hAnsi="宋体" w:hint="eastAsia"/>
                <w:sz w:val="24"/>
                <w:szCs w:val="24"/>
              </w:rPr>
              <w:t>0 进入问答环节</w:t>
            </w:r>
          </w:p>
          <w:p w:rsidR="00BF3646" w:rsidRPr="00C819D3" w:rsidRDefault="00BF3646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1、公司今年</w:t>
            </w:r>
            <w:r w:rsidR="00C819D3">
              <w:rPr>
                <w:rFonts w:ascii="宋体" w:hAnsi="宋体" w:hint="eastAsia"/>
                <w:b/>
                <w:sz w:val="24"/>
                <w:szCs w:val="24"/>
              </w:rPr>
              <w:t>上半年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 w:rsidR="009750AC" w:rsidRPr="00C819D3">
              <w:rPr>
                <w:rFonts w:ascii="宋体" w:hAnsi="宋体" w:hint="eastAsia"/>
                <w:b/>
                <w:sz w:val="24"/>
                <w:szCs w:val="24"/>
              </w:rPr>
              <w:t>经营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情况</w:t>
            </w:r>
            <w:r w:rsidR="00136076" w:rsidRPr="00C819D3">
              <w:rPr>
                <w:rFonts w:ascii="宋体" w:hAnsi="宋体" w:hint="eastAsia"/>
                <w:b/>
                <w:sz w:val="24"/>
                <w:szCs w:val="24"/>
              </w:rPr>
              <w:t>如何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BF3646" w:rsidRPr="00645591" w:rsidRDefault="00BF3646" w:rsidP="009750A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645591">
              <w:rPr>
                <w:rFonts w:ascii="宋体" w:hAnsi="宋体" w:hint="eastAsia"/>
                <w:sz w:val="24"/>
                <w:szCs w:val="24"/>
              </w:rPr>
              <w:t>答：</w:t>
            </w:r>
            <w:r w:rsidR="009750AC">
              <w:rPr>
                <w:rFonts w:ascii="宋体" w:hAnsi="宋体" w:hint="eastAsia"/>
                <w:sz w:val="24"/>
                <w:szCs w:val="24"/>
              </w:rPr>
              <w:t>2018年受新工厂投产后资产折旧、管理费用提升等影响，在营收增长的同时净利润有所下滑。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2019年</w:t>
            </w:r>
            <w:r>
              <w:rPr>
                <w:rFonts w:ascii="宋体" w:hAnsi="宋体" w:hint="eastAsia"/>
                <w:sz w:val="24"/>
                <w:szCs w:val="24"/>
              </w:rPr>
              <w:t>上半年，</w:t>
            </w:r>
            <w:r w:rsidR="009750AC">
              <w:rPr>
                <w:rFonts w:ascii="宋体" w:hAnsi="宋体" w:hint="eastAsia"/>
                <w:sz w:val="24"/>
                <w:szCs w:val="24"/>
              </w:rPr>
              <w:t>经过早期磨合，新工厂生产及管理各链条已逐渐理顺，随着产能的释放，</w:t>
            </w:r>
            <w:r w:rsidR="009750AC" w:rsidRPr="00A13B2E">
              <w:rPr>
                <w:rFonts w:ascii="宋体" w:hAnsi="宋体" w:hint="eastAsia"/>
                <w:sz w:val="24"/>
                <w:szCs w:val="24"/>
              </w:rPr>
              <w:t>单位产品</w:t>
            </w:r>
            <w:r w:rsidR="009750AC">
              <w:rPr>
                <w:rFonts w:ascii="宋体" w:hAnsi="宋体" w:hint="eastAsia"/>
                <w:sz w:val="24"/>
                <w:szCs w:val="24"/>
              </w:rPr>
              <w:t>的</w:t>
            </w:r>
            <w:r w:rsidR="009750AC" w:rsidRPr="00A13B2E">
              <w:rPr>
                <w:rFonts w:ascii="宋体" w:hAnsi="宋体" w:hint="eastAsia"/>
                <w:sz w:val="24"/>
                <w:szCs w:val="24"/>
              </w:rPr>
              <w:t>固定成本分摊减少</w:t>
            </w:r>
            <w:r w:rsidR="009750AC">
              <w:rPr>
                <w:rFonts w:ascii="宋体" w:hAnsi="宋体" w:hint="eastAsia"/>
                <w:sz w:val="24"/>
                <w:szCs w:val="24"/>
              </w:rPr>
              <w:t>，产能</w:t>
            </w:r>
            <w:r>
              <w:rPr>
                <w:rFonts w:ascii="宋体" w:hAnsi="宋体" w:hint="eastAsia"/>
                <w:sz w:val="24"/>
                <w:szCs w:val="24"/>
              </w:rPr>
              <w:t>优势逐渐体现出来</w:t>
            </w:r>
            <w:r w:rsidR="009750AC">
              <w:rPr>
                <w:rFonts w:ascii="宋体" w:hAnsi="宋体" w:hint="eastAsia"/>
                <w:sz w:val="24"/>
                <w:szCs w:val="24"/>
              </w:rPr>
              <w:t>。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同时</w:t>
            </w:r>
            <w:r w:rsidR="009D3A1E">
              <w:rPr>
                <w:rFonts w:ascii="宋体" w:hAnsi="宋体" w:hint="eastAsia"/>
                <w:sz w:val="24"/>
                <w:szCs w:val="24"/>
              </w:rPr>
              <w:t>，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公司提出</w:t>
            </w:r>
            <w:r>
              <w:rPr>
                <w:rFonts w:ascii="宋体" w:hAnsi="宋体" w:hint="eastAsia"/>
                <w:sz w:val="24"/>
                <w:szCs w:val="24"/>
              </w:rPr>
              <w:t>的“降本、提质、增效”</w:t>
            </w:r>
            <w:r w:rsidR="00394C9E">
              <w:rPr>
                <w:rFonts w:ascii="宋体" w:hAnsi="宋体" w:hint="eastAsia"/>
                <w:sz w:val="24"/>
                <w:szCs w:val="24"/>
              </w:rPr>
              <w:t>优化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管理方针得到了有效执行，</w:t>
            </w:r>
            <w:r w:rsidR="009750AC" w:rsidRPr="00A13B2E">
              <w:rPr>
                <w:rFonts w:ascii="宋体" w:hAnsi="宋体" w:hint="eastAsia"/>
                <w:sz w:val="24"/>
                <w:szCs w:val="24"/>
              </w:rPr>
              <w:t>产品结构</w:t>
            </w:r>
            <w:r w:rsidR="009750AC">
              <w:rPr>
                <w:rFonts w:ascii="宋体" w:hAnsi="宋体" w:hint="eastAsia"/>
                <w:sz w:val="24"/>
                <w:szCs w:val="24"/>
              </w:rPr>
              <w:t>得到进一步优化</w:t>
            </w:r>
            <w:r w:rsidR="009750AC" w:rsidRPr="00A13B2E">
              <w:rPr>
                <w:rFonts w:ascii="宋体" w:hAnsi="宋体" w:hint="eastAsia"/>
                <w:sz w:val="24"/>
                <w:szCs w:val="24"/>
              </w:rPr>
              <w:t>，</w:t>
            </w:r>
            <w:r w:rsidR="009750AC">
              <w:rPr>
                <w:rFonts w:ascii="宋体" w:hAnsi="宋体" w:hint="eastAsia"/>
                <w:sz w:val="24"/>
                <w:szCs w:val="24"/>
              </w:rPr>
              <w:t>精准营销和深度营销工作</w:t>
            </w:r>
            <w:r w:rsidR="009D3A1E">
              <w:rPr>
                <w:rFonts w:ascii="宋体" w:hAnsi="宋体" w:hint="eastAsia"/>
                <w:sz w:val="24"/>
                <w:szCs w:val="24"/>
              </w:rPr>
              <w:t>也</w:t>
            </w:r>
            <w:r w:rsidR="009750AC">
              <w:rPr>
                <w:rFonts w:ascii="宋体" w:hAnsi="宋体" w:hint="eastAsia"/>
                <w:sz w:val="24"/>
                <w:szCs w:val="24"/>
              </w:rPr>
              <w:t>逐步开展，</w:t>
            </w:r>
            <w:r w:rsidRPr="002F0ABB">
              <w:rPr>
                <w:rFonts w:ascii="宋体" w:hAnsi="宋体" w:hint="eastAsia"/>
                <w:sz w:val="24"/>
                <w:szCs w:val="24"/>
              </w:rPr>
              <w:t>经营效率不</w:t>
            </w:r>
            <w:r w:rsidRPr="002F0ABB">
              <w:rPr>
                <w:rFonts w:ascii="宋体" w:hAnsi="宋体" w:hint="eastAsia"/>
                <w:sz w:val="24"/>
                <w:szCs w:val="24"/>
              </w:rPr>
              <w:lastRenderedPageBreak/>
              <w:t>断提升</w:t>
            </w:r>
            <w:r w:rsidR="009750A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销售及盈利情况</w:t>
            </w:r>
            <w:r w:rsidR="009750AC">
              <w:rPr>
                <w:rFonts w:ascii="宋体" w:hAnsi="宋体" w:hint="eastAsia"/>
                <w:sz w:val="24"/>
                <w:szCs w:val="24"/>
              </w:rPr>
              <w:t>较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去年同期有了</w:t>
            </w:r>
            <w:r w:rsidR="009750AC">
              <w:rPr>
                <w:rFonts w:ascii="宋体" w:hAnsi="宋体" w:hint="eastAsia"/>
                <w:sz w:val="24"/>
                <w:szCs w:val="24"/>
              </w:rPr>
              <w:t>大幅</w:t>
            </w:r>
            <w:r w:rsidRPr="00C12727">
              <w:rPr>
                <w:rFonts w:ascii="宋体" w:hAnsi="宋体" w:hint="eastAsia"/>
                <w:sz w:val="24"/>
                <w:szCs w:val="24"/>
              </w:rPr>
              <w:t>提高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F3646" w:rsidRPr="00C819D3" w:rsidRDefault="00BF3646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2、新工厂</w:t>
            </w:r>
            <w:r w:rsidR="00024108" w:rsidRPr="00C819D3">
              <w:rPr>
                <w:rFonts w:ascii="宋体" w:hAnsi="宋体" w:hint="eastAsia"/>
                <w:b/>
                <w:sz w:val="24"/>
                <w:szCs w:val="24"/>
              </w:rPr>
              <w:t>2019年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折旧摊销</w:t>
            </w:r>
            <w:r w:rsidR="00024108" w:rsidRPr="00C819D3">
              <w:rPr>
                <w:rFonts w:ascii="宋体" w:hAnsi="宋体" w:hint="eastAsia"/>
                <w:b/>
                <w:sz w:val="24"/>
                <w:szCs w:val="24"/>
              </w:rPr>
              <w:t>的情况如何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BF3646" w:rsidRPr="00666907" w:rsidRDefault="00BF3646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645591">
              <w:rPr>
                <w:rFonts w:ascii="宋体" w:hAnsi="宋体" w:hint="eastAsia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公司新工厂</w:t>
            </w:r>
            <w:r w:rsidR="00024108">
              <w:rPr>
                <w:rFonts w:ascii="宋体" w:hAnsi="宋体" w:hint="eastAsia"/>
                <w:sz w:val="24"/>
                <w:szCs w:val="24"/>
              </w:rPr>
              <w:t>今年</w:t>
            </w:r>
            <w:r>
              <w:rPr>
                <w:rFonts w:ascii="宋体" w:hAnsi="宋体" w:hint="eastAsia"/>
                <w:sz w:val="24"/>
                <w:szCs w:val="24"/>
              </w:rPr>
              <w:t>的折旧摊销情况</w:t>
            </w:r>
            <w:r w:rsidR="00024108">
              <w:rPr>
                <w:rFonts w:ascii="宋体" w:hAnsi="宋体" w:hint="eastAsia"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sz w:val="24"/>
                <w:szCs w:val="24"/>
              </w:rPr>
              <w:t>2018年差异不大，大部分体现在成本</w:t>
            </w:r>
            <w:r w:rsidR="00024108">
              <w:rPr>
                <w:rFonts w:ascii="宋体" w:hAnsi="宋体" w:hint="eastAsia"/>
                <w:sz w:val="24"/>
                <w:szCs w:val="24"/>
              </w:rPr>
              <w:t>端</w:t>
            </w:r>
            <w:r>
              <w:rPr>
                <w:rFonts w:ascii="宋体" w:hAnsi="宋体" w:hint="eastAsia"/>
                <w:sz w:val="24"/>
                <w:szCs w:val="24"/>
              </w:rPr>
              <w:t>，小部分体现在管理费用方面，具体情况请留意公司发布的定期报告。</w:t>
            </w:r>
          </w:p>
          <w:p w:rsidR="00BF3646" w:rsidRPr="00C819D3" w:rsidRDefault="009D3A1E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、公司是否有产能扩张计划？</w:t>
            </w:r>
            <w:r w:rsidR="00BF3646" w:rsidRPr="00C819D3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BF3646" w:rsidRDefault="00BF3646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6361F">
              <w:rPr>
                <w:rFonts w:ascii="宋体" w:hAnsi="宋体" w:hint="eastAsia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根据生产经营</w:t>
            </w:r>
            <w:r w:rsidR="00024108">
              <w:rPr>
                <w:rFonts w:ascii="宋体" w:hAnsi="宋体" w:hint="eastAsia"/>
                <w:sz w:val="24"/>
                <w:szCs w:val="24"/>
              </w:rPr>
              <w:t>现状及规划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024108">
              <w:rPr>
                <w:rFonts w:ascii="宋体" w:hAnsi="宋体" w:hint="eastAsia"/>
                <w:sz w:val="24"/>
                <w:szCs w:val="24"/>
              </w:rPr>
              <w:t>公司会有步骤的</w:t>
            </w: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 w:rsidR="0005661F">
              <w:rPr>
                <w:rFonts w:ascii="宋体" w:hAnsi="宋体" w:hint="eastAsia"/>
                <w:sz w:val="24"/>
                <w:szCs w:val="24"/>
              </w:rPr>
              <w:t>及推进</w:t>
            </w:r>
            <w:r>
              <w:rPr>
                <w:rFonts w:ascii="宋体" w:hAnsi="宋体" w:hint="eastAsia"/>
                <w:sz w:val="24"/>
                <w:szCs w:val="24"/>
              </w:rPr>
              <w:t>新工厂达产后的</w:t>
            </w:r>
            <w:r w:rsidR="0005661F">
              <w:rPr>
                <w:rFonts w:ascii="宋体" w:hAnsi="宋体" w:hint="eastAsia"/>
                <w:sz w:val="24"/>
                <w:szCs w:val="24"/>
              </w:rPr>
              <w:t>产能扩张计划</w:t>
            </w:r>
            <w:r w:rsidR="00024108">
              <w:rPr>
                <w:rFonts w:ascii="宋体" w:hAnsi="宋体" w:hint="eastAsia"/>
                <w:sz w:val="24"/>
                <w:szCs w:val="24"/>
              </w:rPr>
              <w:t>及与之匹配的奶源供应计划和销售网络</w:t>
            </w:r>
            <w:r w:rsidR="0005661F">
              <w:rPr>
                <w:rFonts w:ascii="宋体" w:hAnsi="宋体" w:hint="eastAsia"/>
                <w:sz w:val="24"/>
                <w:szCs w:val="24"/>
              </w:rPr>
              <w:t>铺设</w:t>
            </w:r>
            <w:r w:rsidR="00024108">
              <w:rPr>
                <w:rFonts w:ascii="宋体" w:hAnsi="宋体" w:hint="eastAsia"/>
                <w:sz w:val="24"/>
                <w:szCs w:val="24"/>
              </w:rPr>
              <w:t>计划，具体情况请以公司日后的信息披露为准</w:t>
            </w:r>
            <w:r w:rsidRPr="00AD04D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F3646" w:rsidRPr="00C819D3" w:rsidRDefault="009D3A1E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、公司低温奶的盈利</w:t>
            </w:r>
            <w:r w:rsidR="0057363A" w:rsidRPr="00C819D3">
              <w:rPr>
                <w:rFonts w:ascii="宋体" w:hAnsi="宋体" w:hint="eastAsia"/>
                <w:b/>
                <w:sz w:val="24"/>
                <w:szCs w:val="24"/>
              </w:rPr>
              <w:t>结构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如何？</w:t>
            </w:r>
            <w:r w:rsidR="00D1562B" w:rsidRPr="00C819D3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BF3646" w:rsidRPr="0057363A" w:rsidRDefault="00BF3646" w:rsidP="0057363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E67C5">
              <w:rPr>
                <w:rFonts w:ascii="宋体" w:hAnsi="宋体" w:hint="eastAsia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低温奶产品中，</w:t>
            </w:r>
            <w:r w:rsidR="00FA47CD">
              <w:rPr>
                <w:rFonts w:ascii="宋体" w:hAnsi="宋体" w:hint="eastAsia"/>
                <w:sz w:val="24"/>
                <w:szCs w:val="24"/>
              </w:rPr>
              <w:t>玻璃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瓶装低温奶和乳酸菌乳饮料的毛利较高。</w:t>
            </w:r>
            <w:r w:rsidR="00FA47CD">
              <w:rPr>
                <w:rFonts w:ascii="宋体" w:hAnsi="宋体" w:hint="eastAsia"/>
                <w:sz w:val="24"/>
                <w:szCs w:val="24"/>
              </w:rPr>
              <w:t>玻璃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瓶装低温奶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毛利较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高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，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是因为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玻璃瓶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可回收，通过</w:t>
            </w:r>
            <w:r w:rsidR="00C819D3">
              <w:rPr>
                <w:rFonts w:ascii="宋体" w:hAnsi="宋体" w:hint="eastAsia"/>
                <w:sz w:val="24"/>
                <w:szCs w:val="24"/>
              </w:rPr>
              <w:t>周转与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重复利用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可以降低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包装成本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，</w:t>
            </w:r>
            <w:r w:rsidR="00FA47CD">
              <w:rPr>
                <w:rFonts w:ascii="宋体" w:hAnsi="宋体" w:hint="eastAsia"/>
                <w:sz w:val="24"/>
                <w:szCs w:val="24"/>
              </w:rPr>
              <w:t>玻璃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瓶装低温奶主要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在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送奶到户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渠道供应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。乳酸菌乳饮料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毛利率较高，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主要是</w:t>
            </w:r>
            <w:r w:rsidR="0057363A" w:rsidRPr="00666907">
              <w:rPr>
                <w:rFonts w:ascii="宋体" w:hAnsi="宋体" w:hint="eastAsia"/>
                <w:sz w:val="24"/>
                <w:szCs w:val="24"/>
              </w:rPr>
              <w:t>其配料主导的成本结构所致</w:t>
            </w:r>
            <w:r w:rsidR="0018713D" w:rsidRPr="00666907">
              <w:rPr>
                <w:rFonts w:ascii="宋体" w:hAnsi="宋体" w:hint="eastAsia"/>
                <w:sz w:val="24"/>
                <w:szCs w:val="24"/>
              </w:rPr>
              <w:t>，加之风味口感更容易被市场接受</w:t>
            </w:r>
            <w:r w:rsidR="00C819D3">
              <w:rPr>
                <w:rFonts w:ascii="宋体" w:hAnsi="宋体" w:hint="eastAsia"/>
                <w:sz w:val="24"/>
                <w:szCs w:val="24"/>
              </w:rPr>
              <w:t>，销量比较好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F3646" w:rsidRPr="00C819D3" w:rsidRDefault="009D3A1E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、随着公司产能提高，公司的合作牧场怎么做好原奶供应保障？</w:t>
            </w:r>
          </w:p>
          <w:p w:rsidR="00BF3646" w:rsidRDefault="00BF3646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1115E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666907">
              <w:rPr>
                <w:rFonts w:ascii="宋体" w:hAnsi="宋体"/>
                <w:sz w:val="24"/>
                <w:szCs w:val="24"/>
              </w:rPr>
              <w:t>公司继续加深对合作牧场的战略关系维护，在设施、种牛、防疫、养殖、品质等方面进行重点把控，加大技术输出和管理输出</w:t>
            </w:r>
            <w:r>
              <w:rPr>
                <w:rFonts w:ascii="宋体" w:hAnsi="宋体" w:hint="eastAsia"/>
                <w:sz w:val="24"/>
                <w:szCs w:val="24"/>
              </w:rPr>
              <w:t>，提高奶牛的单产水平</w:t>
            </w:r>
            <w:r w:rsidR="00C819D3">
              <w:rPr>
                <w:rFonts w:ascii="宋体" w:hAnsi="宋体" w:hint="eastAsia"/>
                <w:sz w:val="24"/>
                <w:szCs w:val="24"/>
              </w:rPr>
              <w:t>。</w:t>
            </w:r>
            <w:r w:rsidRPr="00666907">
              <w:rPr>
                <w:rFonts w:ascii="宋体" w:hAnsi="宋体"/>
                <w:sz w:val="24"/>
                <w:szCs w:val="24"/>
              </w:rPr>
              <w:t>同时为适应产能扩张，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公司也</w:t>
            </w:r>
            <w:r w:rsidR="009D3A1E" w:rsidRPr="00666907">
              <w:rPr>
                <w:rFonts w:ascii="宋体" w:hAnsi="宋体" w:hint="eastAsia"/>
                <w:sz w:val="24"/>
                <w:szCs w:val="24"/>
              </w:rPr>
              <w:t>设立了奶源管理委员会，</w:t>
            </w:r>
            <w:r w:rsidRPr="00666907">
              <w:rPr>
                <w:rFonts w:ascii="宋体" w:hAnsi="宋体"/>
                <w:sz w:val="24"/>
                <w:szCs w:val="24"/>
              </w:rPr>
              <w:t>适时扩充优质原奶供应源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F3646" w:rsidRPr="00C819D3" w:rsidRDefault="009D3A1E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、公司现有一级经销商的</w:t>
            </w: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情况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 xml:space="preserve">？ </w:t>
            </w:r>
          </w:p>
          <w:p w:rsidR="00BF3646" w:rsidRDefault="00BF3646" w:rsidP="009D3A1E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634C5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公司根据乳制品</w:t>
            </w:r>
            <w:r w:rsidR="009D3A1E">
              <w:rPr>
                <w:rFonts w:ascii="宋体" w:hAnsi="宋体" w:hint="eastAsia"/>
                <w:sz w:val="24"/>
                <w:szCs w:val="24"/>
              </w:rPr>
              <w:t>的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消费量</w:t>
            </w:r>
            <w:r w:rsidR="009D3A1E">
              <w:rPr>
                <w:rFonts w:ascii="宋体" w:hAnsi="宋体" w:hint="eastAsia"/>
                <w:sz w:val="24"/>
                <w:szCs w:val="24"/>
              </w:rPr>
              <w:t>来</w:t>
            </w:r>
            <w:r w:rsidR="00C819D3">
              <w:rPr>
                <w:rFonts w:ascii="宋体" w:hAnsi="宋体" w:hint="eastAsia"/>
                <w:sz w:val="24"/>
                <w:szCs w:val="24"/>
              </w:rPr>
              <w:t>确定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一级经销商的</w:t>
            </w:r>
            <w:r w:rsidR="00C819D3">
              <w:rPr>
                <w:rFonts w:ascii="宋体" w:hAnsi="宋体" w:hint="eastAsia"/>
                <w:sz w:val="24"/>
                <w:szCs w:val="24"/>
              </w:rPr>
              <w:t>覆盖区域与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数量，通常一个特定区域只发展一个</w:t>
            </w:r>
            <w:r w:rsidR="008E0761">
              <w:rPr>
                <w:rFonts w:ascii="宋体" w:hAnsi="宋体" w:hint="eastAsia"/>
                <w:sz w:val="24"/>
                <w:szCs w:val="24"/>
              </w:rPr>
              <w:t>一级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经销商，</w:t>
            </w:r>
            <w:r w:rsidR="009D3A1E">
              <w:rPr>
                <w:rFonts w:ascii="宋体" w:hAnsi="宋体" w:hint="eastAsia"/>
                <w:sz w:val="24"/>
                <w:szCs w:val="24"/>
              </w:rPr>
              <w:t>其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根据市场情况</w:t>
            </w:r>
            <w:r w:rsidR="009D3A1E">
              <w:rPr>
                <w:rFonts w:ascii="宋体" w:hAnsi="宋体" w:hint="eastAsia"/>
                <w:sz w:val="24"/>
                <w:szCs w:val="24"/>
              </w:rPr>
              <w:t>向下</w:t>
            </w:r>
            <w:r w:rsidRPr="000D1C75">
              <w:rPr>
                <w:rFonts w:ascii="宋体" w:hAnsi="宋体" w:hint="eastAsia"/>
                <w:sz w:val="24"/>
                <w:szCs w:val="24"/>
              </w:rPr>
              <w:t>发展二、三级经销商</w:t>
            </w:r>
            <w:r w:rsidR="009D3A1E">
              <w:rPr>
                <w:rFonts w:ascii="宋体" w:hAnsi="宋体" w:hint="eastAsia"/>
                <w:sz w:val="24"/>
                <w:szCs w:val="24"/>
              </w:rPr>
              <w:t>。为</w:t>
            </w:r>
            <w:r w:rsidR="00C819D3">
              <w:rPr>
                <w:rFonts w:ascii="宋体" w:hAnsi="宋体" w:hint="eastAsia"/>
                <w:sz w:val="24"/>
                <w:szCs w:val="24"/>
              </w:rPr>
              <w:t>加强管理，</w:t>
            </w:r>
            <w:r w:rsidR="009D3A1E">
              <w:rPr>
                <w:rFonts w:ascii="宋体" w:hAnsi="宋体" w:hint="eastAsia"/>
                <w:sz w:val="24"/>
                <w:szCs w:val="24"/>
              </w:rPr>
              <w:t>提高营销效率，公司严格控制一级经销商的数量，并设立</w:t>
            </w:r>
            <w:r w:rsidR="00C819D3">
              <w:rPr>
                <w:rFonts w:ascii="宋体" w:hAnsi="宋体" w:hint="eastAsia"/>
                <w:sz w:val="24"/>
                <w:szCs w:val="24"/>
              </w:rPr>
              <w:t>多维度的</w:t>
            </w:r>
            <w:r w:rsidR="009D3A1E">
              <w:rPr>
                <w:rFonts w:ascii="宋体" w:hAnsi="宋体" w:hint="eastAsia"/>
                <w:sz w:val="24"/>
                <w:szCs w:val="24"/>
              </w:rPr>
              <w:t>考核指标，根据市场情况调整经销商布局，提高销售网络的覆盖面和下沉力度。</w:t>
            </w:r>
          </w:p>
          <w:p w:rsidR="00BF3646" w:rsidRPr="00C819D3" w:rsidRDefault="00DE466F" w:rsidP="00C819D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819D3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、公司</w:t>
            </w:r>
            <w:r w:rsidR="00850B51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老广州</w:t>
            </w:r>
            <w:r w:rsidR="00850B51">
              <w:rPr>
                <w:rFonts w:ascii="宋体" w:hAnsi="宋体" w:hint="eastAsia"/>
                <w:b/>
                <w:sz w:val="24"/>
                <w:szCs w:val="24"/>
              </w:rPr>
              <w:t>”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t>产品的推出时间是什么时候？公司常温奶销</w:t>
            </w:r>
            <w:r w:rsidR="00BF3646" w:rsidRPr="00C819D3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量排名前三是哪几款产品？</w:t>
            </w:r>
          </w:p>
          <w:p w:rsidR="00BF3646" w:rsidRDefault="00BF3646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634C5">
              <w:rPr>
                <w:rFonts w:ascii="宋体" w:hAnsi="宋体" w:hint="eastAsia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公司“老广州”酸奶产品在2</w:t>
            </w:r>
            <w:r w:rsidR="00DE466F">
              <w:rPr>
                <w:rFonts w:ascii="宋体" w:hAnsi="宋体" w:hint="eastAsia"/>
                <w:sz w:val="24"/>
                <w:szCs w:val="24"/>
              </w:rPr>
              <w:t>017</w:t>
            </w:r>
            <w:r>
              <w:rPr>
                <w:rFonts w:ascii="宋体" w:hAnsi="宋体" w:hint="eastAsia"/>
                <w:sz w:val="24"/>
                <w:szCs w:val="24"/>
              </w:rPr>
              <w:t>年推出市场，</w:t>
            </w:r>
            <w:r w:rsidR="00DE466F">
              <w:rPr>
                <w:rFonts w:ascii="宋体" w:hAnsi="宋体" w:hint="eastAsia"/>
                <w:sz w:val="24"/>
                <w:szCs w:val="24"/>
              </w:rPr>
              <w:t>后</w:t>
            </w:r>
            <w:r>
              <w:rPr>
                <w:rFonts w:ascii="宋体" w:hAnsi="宋体" w:hint="eastAsia"/>
                <w:sz w:val="24"/>
                <w:szCs w:val="24"/>
              </w:rPr>
              <w:t>根据市场反应</w:t>
            </w:r>
            <w:r w:rsidR="00DE466F">
              <w:rPr>
                <w:rFonts w:ascii="宋体" w:hAnsi="宋体" w:hint="eastAsia"/>
                <w:sz w:val="24"/>
                <w:szCs w:val="24"/>
              </w:rPr>
              <w:t>与消费趋势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DE466F">
              <w:rPr>
                <w:rFonts w:ascii="宋体" w:hAnsi="宋体" w:hint="eastAsia"/>
                <w:sz w:val="24"/>
                <w:szCs w:val="24"/>
              </w:rPr>
              <w:t>于</w:t>
            </w:r>
            <w:r>
              <w:rPr>
                <w:rFonts w:ascii="宋体" w:hAnsi="宋体" w:hint="eastAsia"/>
                <w:sz w:val="24"/>
                <w:szCs w:val="24"/>
              </w:rPr>
              <w:t>2019年推出了</w:t>
            </w:r>
            <w:r w:rsidR="00DE466F">
              <w:rPr>
                <w:rFonts w:ascii="宋体" w:hAnsi="宋体" w:hint="eastAsia"/>
                <w:sz w:val="24"/>
                <w:szCs w:val="24"/>
              </w:rPr>
              <w:t>无蔗糖版“老广州”产品</w:t>
            </w:r>
            <w:r>
              <w:rPr>
                <w:rFonts w:ascii="宋体" w:hAnsi="宋体" w:hint="eastAsia"/>
                <w:sz w:val="24"/>
                <w:szCs w:val="24"/>
              </w:rPr>
              <w:t>，受到</w:t>
            </w:r>
            <w:r w:rsidR="00DE466F">
              <w:rPr>
                <w:rFonts w:ascii="宋体" w:hAnsi="宋体" w:hint="eastAsia"/>
                <w:sz w:val="24"/>
                <w:szCs w:val="24"/>
              </w:rPr>
              <w:t>广大消费者的喜爱。老广州系列产品虽然推出时间不久，但现已跃居公司销量前8，成为明星单品之一。</w:t>
            </w:r>
            <w:r>
              <w:rPr>
                <w:rFonts w:ascii="宋体" w:hAnsi="宋体" w:hint="eastAsia"/>
                <w:sz w:val="24"/>
                <w:szCs w:val="24"/>
              </w:rPr>
              <w:t>公司常温奶</w:t>
            </w:r>
            <w:r w:rsidR="00DE466F">
              <w:rPr>
                <w:rFonts w:ascii="宋体" w:hAnsi="宋体" w:hint="eastAsia"/>
                <w:sz w:val="24"/>
                <w:szCs w:val="24"/>
              </w:rPr>
              <w:t>中，</w:t>
            </w:r>
            <w:r>
              <w:rPr>
                <w:rFonts w:ascii="宋体" w:hAnsi="宋体" w:hint="eastAsia"/>
                <w:sz w:val="24"/>
                <w:szCs w:val="24"/>
              </w:rPr>
              <w:t>销量较好的</w:t>
            </w:r>
            <w:r w:rsidR="00DE466F">
              <w:rPr>
                <w:rFonts w:ascii="宋体" w:hAnsi="宋体" w:hint="eastAsia"/>
                <w:sz w:val="24"/>
                <w:szCs w:val="24"/>
              </w:rPr>
              <w:t>产品有</w:t>
            </w:r>
            <w:r w:rsidRPr="00666907">
              <w:rPr>
                <w:rFonts w:ascii="宋体" w:hAnsi="宋体" w:hint="eastAsia"/>
                <w:sz w:val="24"/>
                <w:szCs w:val="24"/>
              </w:rPr>
              <w:t>原味酸奶饮品</w:t>
            </w:r>
            <w:r>
              <w:rPr>
                <w:rFonts w:ascii="宋体" w:hAnsi="宋体" w:hint="eastAsia"/>
                <w:sz w:val="24"/>
                <w:szCs w:val="24"/>
              </w:rPr>
              <w:t>、红枣枸杞牛奶</w:t>
            </w:r>
            <w:r w:rsidR="00F467B7">
              <w:rPr>
                <w:rFonts w:ascii="宋体" w:hAnsi="宋体" w:hint="eastAsia"/>
                <w:sz w:val="24"/>
                <w:szCs w:val="24"/>
              </w:rPr>
              <w:t>饮品</w:t>
            </w:r>
            <w:r w:rsidR="00DE466F"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 w:hint="eastAsia"/>
                <w:sz w:val="24"/>
                <w:szCs w:val="24"/>
              </w:rPr>
              <w:t>纯牛奶。</w:t>
            </w:r>
          </w:p>
          <w:p w:rsidR="00EA5581" w:rsidRDefault="00EA5581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（说明：已剔除近期调研活动中的重复性问答。）</w:t>
            </w:r>
          </w:p>
          <w:p w:rsidR="002E2B8C" w:rsidRPr="00BF3646" w:rsidRDefault="00BF3646" w:rsidP="00BF364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11:15 李春锋先生宣布：今天的沟通交流会到此结束。</w:t>
            </w:r>
          </w:p>
        </w:tc>
      </w:tr>
      <w:tr w:rsidR="002E2B8C" w:rsidTr="00CA0ED7">
        <w:trPr>
          <w:tblCellSpacing w:w="0" w:type="dxa"/>
        </w:trPr>
        <w:tc>
          <w:tcPr>
            <w:tcW w:w="772" w:type="pct"/>
            <w:vAlign w:val="center"/>
          </w:tcPr>
          <w:p w:rsidR="002E2B8C" w:rsidRDefault="002E2B8C" w:rsidP="002E2B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4228" w:type="pct"/>
          </w:tcPr>
          <w:p w:rsidR="002E2B8C" w:rsidRDefault="002E2B8C" w:rsidP="002E2B8C">
            <w:pPr>
              <w:spacing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E2B8C" w:rsidTr="00CA0ED7">
        <w:trPr>
          <w:tblCellSpacing w:w="0" w:type="dxa"/>
        </w:trPr>
        <w:tc>
          <w:tcPr>
            <w:tcW w:w="772" w:type="pct"/>
            <w:vAlign w:val="center"/>
          </w:tcPr>
          <w:p w:rsidR="002E2B8C" w:rsidRDefault="002E2B8C" w:rsidP="002E2B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228" w:type="pct"/>
          </w:tcPr>
          <w:p w:rsidR="002E2B8C" w:rsidRDefault="002E2B8C" w:rsidP="00F94862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-2</w:t>
            </w:r>
            <w:r w:rsidR="00F9486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2C39FA" w:rsidRDefault="005A355E"/>
    <w:sectPr w:rsidR="002C39FA" w:rsidSect="004D3B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5E" w:rsidRDefault="005A355E" w:rsidP="003D1E2E">
      <w:r>
        <w:separator/>
      </w:r>
    </w:p>
  </w:endnote>
  <w:endnote w:type="continuationSeparator" w:id="0">
    <w:p w:rsidR="005A355E" w:rsidRDefault="005A355E" w:rsidP="003D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5E" w:rsidRDefault="005A355E" w:rsidP="003D1E2E">
      <w:r>
        <w:separator/>
      </w:r>
    </w:p>
  </w:footnote>
  <w:footnote w:type="continuationSeparator" w:id="0">
    <w:p w:rsidR="005A355E" w:rsidRDefault="005A355E" w:rsidP="003D1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81"/>
    <w:rsid w:val="00024108"/>
    <w:rsid w:val="00027A81"/>
    <w:rsid w:val="000416BC"/>
    <w:rsid w:val="00050AC6"/>
    <w:rsid w:val="0005661F"/>
    <w:rsid w:val="00057DBA"/>
    <w:rsid w:val="00061D35"/>
    <w:rsid w:val="00072CF7"/>
    <w:rsid w:val="00077195"/>
    <w:rsid w:val="000816CD"/>
    <w:rsid w:val="00082CFE"/>
    <w:rsid w:val="000848F2"/>
    <w:rsid w:val="000901D2"/>
    <w:rsid w:val="00090B8A"/>
    <w:rsid w:val="00094DDC"/>
    <w:rsid w:val="000B0C69"/>
    <w:rsid w:val="000B23A0"/>
    <w:rsid w:val="000B6252"/>
    <w:rsid w:val="000F3D46"/>
    <w:rsid w:val="0011427C"/>
    <w:rsid w:val="0011799C"/>
    <w:rsid w:val="00126139"/>
    <w:rsid w:val="0013540D"/>
    <w:rsid w:val="00136076"/>
    <w:rsid w:val="00140540"/>
    <w:rsid w:val="00155D3B"/>
    <w:rsid w:val="001737C9"/>
    <w:rsid w:val="001857A5"/>
    <w:rsid w:val="00186721"/>
    <w:rsid w:val="0018713D"/>
    <w:rsid w:val="00194060"/>
    <w:rsid w:val="001A0ADE"/>
    <w:rsid w:val="001A3DCC"/>
    <w:rsid w:val="001A4488"/>
    <w:rsid w:val="001A76CF"/>
    <w:rsid w:val="001B107A"/>
    <w:rsid w:val="001B18E7"/>
    <w:rsid w:val="001B6541"/>
    <w:rsid w:val="001C3D52"/>
    <w:rsid w:val="001F2D5F"/>
    <w:rsid w:val="00201EC2"/>
    <w:rsid w:val="00204D89"/>
    <w:rsid w:val="00206D49"/>
    <w:rsid w:val="0022362D"/>
    <w:rsid w:val="00226C46"/>
    <w:rsid w:val="0024374F"/>
    <w:rsid w:val="002551FE"/>
    <w:rsid w:val="002564B9"/>
    <w:rsid w:val="002861FF"/>
    <w:rsid w:val="002C599F"/>
    <w:rsid w:val="002E2B8C"/>
    <w:rsid w:val="002E3136"/>
    <w:rsid w:val="002F0ABB"/>
    <w:rsid w:val="002F16A0"/>
    <w:rsid w:val="002F1DD3"/>
    <w:rsid w:val="002F2CAF"/>
    <w:rsid w:val="00321340"/>
    <w:rsid w:val="00336009"/>
    <w:rsid w:val="00344BBD"/>
    <w:rsid w:val="00350609"/>
    <w:rsid w:val="003513A0"/>
    <w:rsid w:val="00355991"/>
    <w:rsid w:val="00356F18"/>
    <w:rsid w:val="0036048C"/>
    <w:rsid w:val="0036173C"/>
    <w:rsid w:val="00375349"/>
    <w:rsid w:val="00394C9E"/>
    <w:rsid w:val="003A270D"/>
    <w:rsid w:val="003A4CFA"/>
    <w:rsid w:val="003A7CED"/>
    <w:rsid w:val="003B229F"/>
    <w:rsid w:val="003B40D8"/>
    <w:rsid w:val="003B6B15"/>
    <w:rsid w:val="003C40EF"/>
    <w:rsid w:val="003D1E2E"/>
    <w:rsid w:val="003D2525"/>
    <w:rsid w:val="003D33C3"/>
    <w:rsid w:val="003F6F60"/>
    <w:rsid w:val="00401015"/>
    <w:rsid w:val="00412BBA"/>
    <w:rsid w:val="004150CA"/>
    <w:rsid w:val="004347D6"/>
    <w:rsid w:val="004531D6"/>
    <w:rsid w:val="00465774"/>
    <w:rsid w:val="004661CA"/>
    <w:rsid w:val="004977C6"/>
    <w:rsid w:val="004A1E2C"/>
    <w:rsid w:val="004C3B91"/>
    <w:rsid w:val="004C7FF4"/>
    <w:rsid w:val="004D47A4"/>
    <w:rsid w:val="004F5D89"/>
    <w:rsid w:val="00511115"/>
    <w:rsid w:val="00527E27"/>
    <w:rsid w:val="0054141C"/>
    <w:rsid w:val="00555733"/>
    <w:rsid w:val="0056013B"/>
    <w:rsid w:val="005634C5"/>
    <w:rsid w:val="005654FE"/>
    <w:rsid w:val="00565A16"/>
    <w:rsid w:val="00571E78"/>
    <w:rsid w:val="00573459"/>
    <w:rsid w:val="0057363A"/>
    <w:rsid w:val="00584E17"/>
    <w:rsid w:val="005901D5"/>
    <w:rsid w:val="005A0D43"/>
    <w:rsid w:val="005A355E"/>
    <w:rsid w:val="005B1CCE"/>
    <w:rsid w:val="005D4421"/>
    <w:rsid w:val="005D78F5"/>
    <w:rsid w:val="005E0F6E"/>
    <w:rsid w:val="005E2E1B"/>
    <w:rsid w:val="005F46F0"/>
    <w:rsid w:val="006171F0"/>
    <w:rsid w:val="0065304C"/>
    <w:rsid w:val="006551CC"/>
    <w:rsid w:val="00656B44"/>
    <w:rsid w:val="00657C50"/>
    <w:rsid w:val="00666907"/>
    <w:rsid w:val="00667303"/>
    <w:rsid w:val="0067646C"/>
    <w:rsid w:val="006A44DC"/>
    <w:rsid w:val="006A44E8"/>
    <w:rsid w:val="006C164F"/>
    <w:rsid w:val="006C2937"/>
    <w:rsid w:val="006C4528"/>
    <w:rsid w:val="006D4006"/>
    <w:rsid w:val="006D635C"/>
    <w:rsid w:val="006E2594"/>
    <w:rsid w:val="006F0E28"/>
    <w:rsid w:val="00707301"/>
    <w:rsid w:val="00727695"/>
    <w:rsid w:val="00742710"/>
    <w:rsid w:val="00755A7F"/>
    <w:rsid w:val="00756395"/>
    <w:rsid w:val="0075744C"/>
    <w:rsid w:val="007711C7"/>
    <w:rsid w:val="0077714C"/>
    <w:rsid w:val="00795406"/>
    <w:rsid w:val="007C11C9"/>
    <w:rsid w:val="007C38A4"/>
    <w:rsid w:val="007E4397"/>
    <w:rsid w:val="007F4DB1"/>
    <w:rsid w:val="007F58BB"/>
    <w:rsid w:val="00803BE2"/>
    <w:rsid w:val="008205A4"/>
    <w:rsid w:val="008463BF"/>
    <w:rsid w:val="00850B51"/>
    <w:rsid w:val="00863718"/>
    <w:rsid w:val="00866C89"/>
    <w:rsid w:val="008825CF"/>
    <w:rsid w:val="008B5AAF"/>
    <w:rsid w:val="008C2945"/>
    <w:rsid w:val="008C6623"/>
    <w:rsid w:val="008C7758"/>
    <w:rsid w:val="008D74F6"/>
    <w:rsid w:val="008E0699"/>
    <w:rsid w:val="008E0761"/>
    <w:rsid w:val="008E0F81"/>
    <w:rsid w:val="008E6901"/>
    <w:rsid w:val="0093060F"/>
    <w:rsid w:val="00940EDA"/>
    <w:rsid w:val="00961D78"/>
    <w:rsid w:val="009750AC"/>
    <w:rsid w:val="00977D51"/>
    <w:rsid w:val="009910A0"/>
    <w:rsid w:val="00997AF1"/>
    <w:rsid w:val="009A666E"/>
    <w:rsid w:val="009A74DC"/>
    <w:rsid w:val="009C19A1"/>
    <w:rsid w:val="009D3A1E"/>
    <w:rsid w:val="009D6CA5"/>
    <w:rsid w:val="009E491B"/>
    <w:rsid w:val="009F0C03"/>
    <w:rsid w:val="00A13B2E"/>
    <w:rsid w:val="00A215B1"/>
    <w:rsid w:val="00A27553"/>
    <w:rsid w:val="00A50BAC"/>
    <w:rsid w:val="00A53076"/>
    <w:rsid w:val="00A55D45"/>
    <w:rsid w:val="00A578B2"/>
    <w:rsid w:val="00A6360D"/>
    <w:rsid w:val="00A67ACA"/>
    <w:rsid w:val="00A71852"/>
    <w:rsid w:val="00A7495A"/>
    <w:rsid w:val="00A763EE"/>
    <w:rsid w:val="00AC7201"/>
    <w:rsid w:val="00AE015B"/>
    <w:rsid w:val="00AF1407"/>
    <w:rsid w:val="00AF2F0F"/>
    <w:rsid w:val="00B1115E"/>
    <w:rsid w:val="00B20570"/>
    <w:rsid w:val="00B34462"/>
    <w:rsid w:val="00B355BE"/>
    <w:rsid w:val="00B43F79"/>
    <w:rsid w:val="00B4545E"/>
    <w:rsid w:val="00B61F1C"/>
    <w:rsid w:val="00B6589F"/>
    <w:rsid w:val="00B8361A"/>
    <w:rsid w:val="00B86C02"/>
    <w:rsid w:val="00B87CBD"/>
    <w:rsid w:val="00BA51D4"/>
    <w:rsid w:val="00BD18CC"/>
    <w:rsid w:val="00BD4F0B"/>
    <w:rsid w:val="00BE4208"/>
    <w:rsid w:val="00BE4BD0"/>
    <w:rsid w:val="00BF3646"/>
    <w:rsid w:val="00C06B10"/>
    <w:rsid w:val="00C12727"/>
    <w:rsid w:val="00C303A3"/>
    <w:rsid w:val="00C3575E"/>
    <w:rsid w:val="00C546C7"/>
    <w:rsid w:val="00C6361F"/>
    <w:rsid w:val="00C819D3"/>
    <w:rsid w:val="00C90212"/>
    <w:rsid w:val="00CA0ED7"/>
    <w:rsid w:val="00CA6F38"/>
    <w:rsid w:val="00CC6EEF"/>
    <w:rsid w:val="00CD09EC"/>
    <w:rsid w:val="00CE1BEC"/>
    <w:rsid w:val="00CE5F15"/>
    <w:rsid w:val="00D1562B"/>
    <w:rsid w:val="00D170A5"/>
    <w:rsid w:val="00D32F35"/>
    <w:rsid w:val="00D46C57"/>
    <w:rsid w:val="00D73FE0"/>
    <w:rsid w:val="00D75B71"/>
    <w:rsid w:val="00D76CED"/>
    <w:rsid w:val="00DA1711"/>
    <w:rsid w:val="00DE1565"/>
    <w:rsid w:val="00DE466F"/>
    <w:rsid w:val="00DE5230"/>
    <w:rsid w:val="00DE67C5"/>
    <w:rsid w:val="00E0318B"/>
    <w:rsid w:val="00E130D2"/>
    <w:rsid w:val="00E31D20"/>
    <w:rsid w:val="00E33899"/>
    <w:rsid w:val="00E375A2"/>
    <w:rsid w:val="00E46E5F"/>
    <w:rsid w:val="00E77988"/>
    <w:rsid w:val="00EA054D"/>
    <w:rsid w:val="00EA5581"/>
    <w:rsid w:val="00EB1303"/>
    <w:rsid w:val="00EB175E"/>
    <w:rsid w:val="00EC2D8E"/>
    <w:rsid w:val="00EC409E"/>
    <w:rsid w:val="00EC7450"/>
    <w:rsid w:val="00ED3572"/>
    <w:rsid w:val="00ED5222"/>
    <w:rsid w:val="00ED6686"/>
    <w:rsid w:val="00EE796E"/>
    <w:rsid w:val="00F0278B"/>
    <w:rsid w:val="00F24D72"/>
    <w:rsid w:val="00F275CE"/>
    <w:rsid w:val="00F34BBF"/>
    <w:rsid w:val="00F3521C"/>
    <w:rsid w:val="00F36992"/>
    <w:rsid w:val="00F453B3"/>
    <w:rsid w:val="00F467B7"/>
    <w:rsid w:val="00F51BA3"/>
    <w:rsid w:val="00F563BE"/>
    <w:rsid w:val="00F81FB7"/>
    <w:rsid w:val="00F94862"/>
    <w:rsid w:val="00FA47CD"/>
    <w:rsid w:val="00FB2B00"/>
    <w:rsid w:val="00FD3EC9"/>
    <w:rsid w:val="00FD4DCC"/>
    <w:rsid w:val="00FE2437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E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E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包洋</dc:creator>
  <cp:lastModifiedBy>王欢欢</cp:lastModifiedBy>
  <cp:revision>38</cp:revision>
  <dcterms:created xsi:type="dcterms:W3CDTF">2019-08-29T09:34:00Z</dcterms:created>
  <dcterms:modified xsi:type="dcterms:W3CDTF">2019-08-30T08:41:00Z</dcterms:modified>
</cp:coreProperties>
</file>