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61F" w:rsidRPr="00F55674" w:rsidRDefault="00DB361F" w:rsidP="00DB361F">
      <w:pPr>
        <w:spacing w:beforeLines="50" w:before="156" w:afterLines="50" w:after="156" w:line="400" w:lineRule="exact"/>
        <w:rPr>
          <w:rFonts w:ascii="宋体" w:hAnsi="宋体"/>
          <w:bCs/>
          <w:iCs/>
          <w:color w:val="000000"/>
          <w:sz w:val="22"/>
        </w:rPr>
      </w:pPr>
      <w:r w:rsidRPr="00F55674">
        <w:rPr>
          <w:rFonts w:ascii="宋体" w:hAnsi="宋体" w:hint="eastAsia"/>
          <w:bCs/>
          <w:iCs/>
          <w:color w:val="000000"/>
          <w:sz w:val="22"/>
        </w:rPr>
        <w:t xml:space="preserve">                            </w:t>
      </w:r>
    </w:p>
    <w:p w:rsidR="00A93FBF" w:rsidRPr="00F55674" w:rsidRDefault="00E059C6" w:rsidP="00DB361F">
      <w:pPr>
        <w:spacing w:beforeLines="50" w:before="156" w:afterLines="50" w:after="156" w:line="400" w:lineRule="exact"/>
        <w:jc w:val="center"/>
        <w:rPr>
          <w:rFonts w:ascii="宋体" w:hAnsi="宋体"/>
          <w:bCs/>
          <w:iCs/>
          <w:color w:val="000000"/>
          <w:sz w:val="28"/>
          <w:szCs w:val="32"/>
        </w:rPr>
      </w:pPr>
      <w:r w:rsidRPr="00F55674">
        <w:rPr>
          <w:rFonts w:ascii="宋体" w:hAnsi="宋体" w:hint="eastAsia"/>
          <w:bCs/>
          <w:iCs/>
          <w:color w:val="000000"/>
          <w:sz w:val="28"/>
          <w:szCs w:val="32"/>
        </w:rPr>
        <w:t>苏州恒铭达电子科技</w:t>
      </w:r>
      <w:r w:rsidR="00DB361F" w:rsidRPr="00F55674">
        <w:rPr>
          <w:rFonts w:ascii="宋体" w:hAnsi="宋体" w:hint="eastAsia"/>
          <w:bCs/>
          <w:iCs/>
          <w:color w:val="000000"/>
          <w:sz w:val="28"/>
          <w:szCs w:val="32"/>
        </w:rPr>
        <w:t>股份有限公司</w:t>
      </w:r>
    </w:p>
    <w:p w:rsidR="00DB361F" w:rsidRPr="00F55674" w:rsidRDefault="00DB361F" w:rsidP="00DB361F">
      <w:pPr>
        <w:spacing w:beforeLines="50" w:before="156" w:afterLines="50" w:after="156" w:line="400" w:lineRule="exact"/>
        <w:jc w:val="center"/>
        <w:rPr>
          <w:rFonts w:ascii="宋体" w:hAnsi="宋体"/>
          <w:bCs/>
          <w:iCs/>
          <w:color w:val="000000"/>
          <w:sz w:val="28"/>
          <w:szCs w:val="32"/>
        </w:rPr>
      </w:pPr>
      <w:r w:rsidRPr="00F55674">
        <w:rPr>
          <w:rFonts w:ascii="宋体" w:hAnsi="宋体" w:hint="eastAsia"/>
          <w:bCs/>
          <w:iCs/>
          <w:color w:val="000000"/>
          <w:sz w:val="28"/>
          <w:szCs w:val="32"/>
        </w:rPr>
        <w:t>投资者关系活动记录表</w:t>
      </w:r>
    </w:p>
    <w:p w:rsidR="00DB361F" w:rsidRPr="00F55674" w:rsidRDefault="00A805E2" w:rsidP="00A805E2">
      <w:pPr>
        <w:spacing w:line="400" w:lineRule="exact"/>
        <w:jc w:val="left"/>
        <w:rPr>
          <w:rFonts w:ascii="宋体" w:hAnsi="宋体"/>
          <w:bCs/>
          <w:iCs/>
          <w:color w:val="000000"/>
          <w:sz w:val="22"/>
        </w:rPr>
      </w:pPr>
      <w:r w:rsidRPr="00F55674">
        <w:rPr>
          <w:rFonts w:ascii="宋体" w:hAnsi="宋体" w:hint="eastAsia"/>
          <w:bCs/>
          <w:iCs/>
          <w:color w:val="000000"/>
          <w:sz w:val="22"/>
        </w:rPr>
        <w:t>证券简称:</w:t>
      </w:r>
      <w:proofErr w:type="gramStart"/>
      <w:r w:rsidRPr="00F55674">
        <w:rPr>
          <w:rFonts w:ascii="宋体" w:hAnsi="宋体" w:hint="eastAsia"/>
          <w:bCs/>
          <w:iCs/>
          <w:color w:val="000000"/>
          <w:sz w:val="22"/>
        </w:rPr>
        <w:t>恒铭达</w:t>
      </w:r>
      <w:proofErr w:type="gramEnd"/>
      <w:r w:rsidR="00DB361F" w:rsidRPr="00F55674">
        <w:rPr>
          <w:rFonts w:ascii="宋体" w:hAnsi="宋体" w:hint="eastAsia"/>
          <w:bCs/>
          <w:iCs/>
          <w:color w:val="000000"/>
          <w:sz w:val="22"/>
        </w:rPr>
        <w:t xml:space="preserve">        </w:t>
      </w:r>
      <w:r w:rsidR="008065AA" w:rsidRPr="00F55674">
        <w:rPr>
          <w:rFonts w:ascii="宋体" w:hAnsi="宋体" w:hint="eastAsia"/>
          <w:bCs/>
          <w:iCs/>
          <w:color w:val="000000"/>
          <w:sz w:val="22"/>
        </w:rPr>
        <w:t xml:space="preserve">  </w:t>
      </w:r>
      <w:r w:rsidRPr="00F55674">
        <w:rPr>
          <w:rFonts w:ascii="宋体" w:hAnsi="宋体" w:hint="eastAsia"/>
          <w:bCs/>
          <w:iCs/>
          <w:color w:val="000000"/>
          <w:sz w:val="22"/>
        </w:rPr>
        <w:t xml:space="preserve">证券代码：002947     </w:t>
      </w:r>
      <w:r w:rsidR="00DB361F" w:rsidRPr="00F55674">
        <w:rPr>
          <w:rFonts w:ascii="宋体" w:hAnsi="宋体" w:hint="eastAsia"/>
          <w:bCs/>
          <w:iCs/>
          <w:color w:val="000000"/>
          <w:sz w:val="22"/>
        </w:rPr>
        <w:t xml:space="preserve">           编号：</w:t>
      </w:r>
      <w:r w:rsidR="003C77B0" w:rsidRPr="00F55674">
        <w:rPr>
          <w:rFonts w:ascii="宋体" w:hAnsi="宋体" w:hint="eastAsia"/>
          <w:bCs/>
          <w:iCs/>
          <w:color w:val="000000"/>
          <w:sz w:val="22"/>
        </w:rPr>
        <w:t>2019-00</w:t>
      </w:r>
      <w:r w:rsidR="00ED264C" w:rsidRPr="00F55674">
        <w:rPr>
          <w:rFonts w:ascii="宋体" w:hAnsi="宋体"/>
          <w:bCs/>
          <w:iCs/>
          <w:color w:val="000000"/>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437"/>
      </w:tblGrid>
      <w:tr w:rsidR="00DB361F"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tcPr>
          <w:p w:rsidR="00DB361F" w:rsidRPr="00F55674" w:rsidRDefault="00DB361F" w:rsidP="00006948">
            <w:pPr>
              <w:spacing w:line="480" w:lineRule="atLeast"/>
              <w:rPr>
                <w:rFonts w:ascii="宋体" w:hAnsi="宋体"/>
                <w:bCs/>
                <w:iCs/>
                <w:color w:val="000000"/>
                <w:sz w:val="22"/>
              </w:rPr>
            </w:pPr>
            <w:r w:rsidRPr="00F55674">
              <w:rPr>
                <w:rFonts w:ascii="宋体" w:hAnsi="宋体" w:hint="eastAsia"/>
                <w:bCs/>
                <w:iCs/>
                <w:color w:val="000000"/>
                <w:sz w:val="22"/>
              </w:rPr>
              <w:t>投资者关系活动类别</w:t>
            </w:r>
          </w:p>
          <w:p w:rsidR="00DB361F" w:rsidRPr="00F55674" w:rsidRDefault="00DB361F" w:rsidP="00006948">
            <w:pPr>
              <w:spacing w:line="480" w:lineRule="atLeast"/>
              <w:rPr>
                <w:rFonts w:ascii="宋体" w:hAnsi="宋体"/>
                <w:bCs/>
                <w:iCs/>
                <w:color w:val="000000"/>
                <w:sz w:val="22"/>
              </w:rPr>
            </w:pP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DB361F" w:rsidRPr="00F55674" w:rsidRDefault="00D21A22" w:rsidP="00006948">
            <w:pPr>
              <w:spacing w:line="480" w:lineRule="atLeast"/>
              <w:rPr>
                <w:rFonts w:ascii="宋体" w:hAnsi="宋体"/>
                <w:bCs/>
                <w:iCs/>
                <w:color w:val="000000"/>
                <w:sz w:val="22"/>
              </w:rPr>
            </w:pPr>
            <w:r w:rsidRPr="00F55674">
              <w:rPr>
                <w:rFonts w:ascii="宋体" w:hAnsi="宋体" w:hint="eastAsia"/>
                <w:bCs/>
                <w:iCs/>
                <w:color w:val="000000"/>
                <w:sz w:val="22"/>
              </w:rPr>
              <w:t>■</w:t>
            </w:r>
            <w:r w:rsidR="00DB361F" w:rsidRPr="00F55674">
              <w:rPr>
                <w:rFonts w:ascii="宋体" w:hAnsi="宋体" w:hint="eastAsia"/>
                <w:bCs/>
                <w:sz w:val="24"/>
                <w:szCs w:val="28"/>
              </w:rPr>
              <w:t xml:space="preserve">特定对象调研        </w:t>
            </w:r>
            <w:r w:rsidR="00DB361F" w:rsidRPr="00F55674">
              <w:rPr>
                <w:rFonts w:ascii="宋体" w:hAnsi="宋体" w:hint="eastAsia"/>
                <w:bCs/>
                <w:iCs/>
                <w:color w:val="000000"/>
                <w:sz w:val="22"/>
              </w:rPr>
              <w:t>□</w:t>
            </w:r>
            <w:r w:rsidR="00DB361F" w:rsidRPr="00F55674">
              <w:rPr>
                <w:rFonts w:ascii="宋体" w:hAnsi="宋体" w:hint="eastAsia"/>
                <w:bCs/>
                <w:sz w:val="24"/>
                <w:szCs w:val="28"/>
              </w:rPr>
              <w:t>分析师会议</w:t>
            </w:r>
          </w:p>
          <w:p w:rsidR="00DB361F" w:rsidRPr="00F55674" w:rsidRDefault="00DB361F" w:rsidP="00006948">
            <w:pPr>
              <w:spacing w:line="480" w:lineRule="atLeast"/>
              <w:rPr>
                <w:rFonts w:ascii="宋体" w:hAnsi="宋体"/>
                <w:bCs/>
                <w:iCs/>
                <w:color w:val="000000"/>
                <w:sz w:val="22"/>
              </w:rPr>
            </w:pPr>
            <w:r w:rsidRPr="00F55674">
              <w:rPr>
                <w:rFonts w:ascii="宋体" w:hAnsi="宋体" w:hint="eastAsia"/>
                <w:bCs/>
                <w:iCs/>
                <w:color w:val="000000"/>
                <w:sz w:val="22"/>
              </w:rPr>
              <w:t>□</w:t>
            </w:r>
            <w:r w:rsidRPr="00F55674">
              <w:rPr>
                <w:rFonts w:ascii="宋体" w:hAnsi="宋体" w:hint="eastAsia"/>
                <w:bCs/>
                <w:sz w:val="24"/>
                <w:szCs w:val="28"/>
              </w:rPr>
              <w:t xml:space="preserve">媒体采访            </w:t>
            </w:r>
            <w:r w:rsidRPr="00F55674">
              <w:rPr>
                <w:rFonts w:ascii="宋体" w:hAnsi="宋体" w:hint="eastAsia"/>
                <w:bCs/>
                <w:iCs/>
                <w:color w:val="000000"/>
                <w:sz w:val="22"/>
              </w:rPr>
              <w:t>□</w:t>
            </w:r>
            <w:r w:rsidRPr="00F55674">
              <w:rPr>
                <w:rFonts w:ascii="宋体" w:hAnsi="宋体" w:hint="eastAsia"/>
                <w:bCs/>
                <w:sz w:val="24"/>
                <w:szCs w:val="28"/>
              </w:rPr>
              <w:t>业绩说明会</w:t>
            </w:r>
          </w:p>
          <w:p w:rsidR="00DB361F" w:rsidRPr="00F55674" w:rsidRDefault="00DB361F" w:rsidP="00006948">
            <w:pPr>
              <w:spacing w:line="480" w:lineRule="atLeast"/>
              <w:rPr>
                <w:rFonts w:ascii="宋体" w:hAnsi="宋体"/>
                <w:bCs/>
                <w:iCs/>
                <w:color w:val="000000"/>
                <w:sz w:val="22"/>
              </w:rPr>
            </w:pPr>
            <w:r w:rsidRPr="00F55674">
              <w:rPr>
                <w:rFonts w:ascii="宋体" w:hAnsi="宋体" w:hint="eastAsia"/>
                <w:bCs/>
                <w:iCs/>
                <w:color w:val="000000"/>
                <w:sz w:val="22"/>
              </w:rPr>
              <w:t>□</w:t>
            </w:r>
            <w:r w:rsidRPr="00F55674">
              <w:rPr>
                <w:rFonts w:ascii="宋体" w:hAnsi="宋体" w:hint="eastAsia"/>
                <w:bCs/>
                <w:sz w:val="24"/>
                <w:szCs w:val="28"/>
              </w:rPr>
              <w:t xml:space="preserve">新闻发布会          </w:t>
            </w:r>
            <w:r w:rsidRPr="00F55674">
              <w:rPr>
                <w:rFonts w:ascii="宋体" w:hAnsi="宋体" w:hint="eastAsia"/>
                <w:bCs/>
                <w:iCs/>
                <w:color w:val="000000"/>
                <w:sz w:val="22"/>
              </w:rPr>
              <w:t>□</w:t>
            </w:r>
            <w:r w:rsidRPr="00F55674">
              <w:rPr>
                <w:rFonts w:ascii="宋体" w:hAnsi="宋体" w:hint="eastAsia"/>
                <w:bCs/>
                <w:sz w:val="24"/>
                <w:szCs w:val="28"/>
              </w:rPr>
              <w:t>路演活动</w:t>
            </w:r>
          </w:p>
          <w:p w:rsidR="00DB361F" w:rsidRPr="00F55674" w:rsidRDefault="00D21A22" w:rsidP="00006948">
            <w:pPr>
              <w:tabs>
                <w:tab w:val="left" w:pos="3045"/>
                <w:tab w:val="center" w:pos="3199"/>
              </w:tabs>
              <w:spacing w:line="480" w:lineRule="atLeast"/>
              <w:rPr>
                <w:rFonts w:ascii="宋体" w:hAnsi="宋体"/>
                <w:bCs/>
                <w:iCs/>
                <w:color w:val="000000"/>
                <w:sz w:val="22"/>
              </w:rPr>
            </w:pPr>
            <w:r w:rsidRPr="00F55674">
              <w:rPr>
                <w:rFonts w:ascii="宋体" w:hAnsi="宋体" w:hint="eastAsia"/>
                <w:bCs/>
                <w:iCs/>
                <w:color w:val="000000"/>
                <w:sz w:val="22"/>
              </w:rPr>
              <w:t>□</w:t>
            </w:r>
            <w:r w:rsidR="00DB361F" w:rsidRPr="00F55674">
              <w:rPr>
                <w:rFonts w:ascii="宋体" w:hAnsi="宋体" w:hint="eastAsia"/>
                <w:bCs/>
                <w:sz w:val="24"/>
                <w:szCs w:val="28"/>
              </w:rPr>
              <w:t>现场参观</w:t>
            </w:r>
            <w:r w:rsidR="00DB361F" w:rsidRPr="00F55674">
              <w:rPr>
                <w:rFonts w:ascii="宋体" w:hAnsi="宋体" w:hint="eastAsia"/>
                <w:bCs/>
                <w:iCs/>
                <w:color w:val="000000"/>
                <w:sz w:val="22"/>
              </w:rPr>
              <w:tab/>
            </w:r>
          </w:p>
          <w:p w:rsidR="00DB361F" w:rsidRPr="00F55674" w:rsidRDefault="00DB361F" w:rsidP="00006948">
            <w:pPr>
              <w:tabs>
                <w:tab w:val="center" w:pos="3199"/>
              </w:tabs>
              <w:spacing w:line="480" w:lineRule="atLeast"/>
              <w:rPr>
                <w:rFonts w:ascii="宋体" w:hAnsi="宋体"/>
                <w:bCs/>
                <w:iCs/>
                <w:color w:val="000000"/>
                <w:sz w:val="22"/>
              </w:rPr>
            </w:pPr>
            <w:r w:rsidRPr="00F55674">
              <w:rPr>
                <w:rFonts w:ascii="宋体" w:hAnsi="宋体" w:hint="eastAsia"/>
                <w:bCs/>
                <w:iCs/>
                <w:color w:val="000000"/>
                <w:sz w:val="22"/>
              </w:rPr>
              <w:t>□</w:t>
            </w:r>
            <w:r w:rsidRPr="00F55674">
              <w:rPr>
                <w:rFonts w:ascii="宋体" w:hAnsi="宋体" w:hint="eastAsia"/>
                <w:bCs/>
                <w:sz w:val="24"/>
                <w:szCs w:val="28"/>
              </w:rPr>
              <w:t>其他 （</w:t>
            </w:r>
            <w:proofErr w:type="gramStart"/>
            <w:r w:rsidRPr="00F55674">
              <w:rPr>
                <w:rFonts w:ascii="宋体" w:hAnsi="宋体" w:hint="eastAsia"/>
                <w:bCs/>
                <w:sz w:val="24"/>
                <w:szCs w:val="28"/>
                <w:u w:val="single"/>
              </w:rPr>
              <w:t>请文字</w:t>
            </w:r>
            <w:proofErr w:type="gramEnd"/>
            <w:r w:rsidRPr="00F55674">
              <w:rPr>
                <w:rFonts w:ascii="宋体" w:hAnsi="宋体" w:hint="eastAsia"/>
                <w:bCs/>
                <w:sz w:val="24"/>
                <w:szCs w:val="28"/>
                <w:u w:val="single"/>
              </w:rPr>
              <w:t>说明其他活动内容）</w:t>
            </w:r>
          </w:p>
        </w:tc>
      </w:tr>
      <w:tr w:rsidR="003E3D41"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tcPr>
          <w:p w:rsidR="003E3D41" w:rsidRPr="00D21A22" w:rsidRDefault="003E3D41" w:rsidP="003E3D41">
            <w:pPr>
              <w:spacing w:line="480" w:lineRule="atLeast"/>
              <w:rPr>
                <w:rFonts w:ascii="宋体" w:hAnsi="宋体"/>
                <w:bCs/>
                <w:iCs/>
                <w:color w:val="000000"/>
                <w:sz w:val="22"/>
              </w:rPr>
            </w:pPr>
            <w:r w:rsidRPr="00D21A22">
              <w:rPr>
                <w:rFonts w:ascii="宋体" w:hAnsi="宋体" w:hint="eastAsia"/>
                <w:bCs/>
                <w:iCs/>
                <w:color w:val="000000"/>
                <w:sz w:val="22"/>
              </w:rPr>
              <w:t>参与单位名称及人员姓名</w:t>
            </w: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3E3D41" w:rsidRPr="00D21A22" w:rsidRDefault="003E3D41" w:rsidP="003E3D41">
            <w:pPr>
              <w:spacing w:line="480" w:lineRule="atLeast"/>
              <w:rPr>
                <w:rFonts w:ascii="宋体" w:hAnsi="宋体"/>
                <w:bCs/>
                <w:iCs/>
                <w:color w:val="000000"/>
                <w:sz w:val="22"/>
              </w:rPr>
            </w:pPr>
            <w:r w:rsidRPr="003E3D41">
              <w:rPr>
                <w:rFonts w:ascii="宋体" w:hAnsi="宋体" w:hint="eastAsia"/>
                <w:bCs/>
                <w:iCs/>
                <w:color w:val="000000"/>
                <w:sz w:val="22"/>
              </w:rPr>
              <w:t>华金证券</w:t>
            </w:r>
            <w:r w:rsidRPr="00D21A22">
              <w:rPr>
                <w:rFonts w:ascii="宋体" w:hAnsi="宋体" w:hint="eastAsia"/>
                <w:bCs/>
                <w:iCs/>
                <w:color w:val="000000"/>
                <w:sz w:val="22"/>
              </w:rPr>
              <w:tab/>
            </w:r>
            <w:r w:rsidRPr="003E3D41">
              <w:rPr>
                <w:rFonts w:ascii="宋体" w:hAnsi="宋体" w:hint="eastAsia"/>
                <w:bCs/>
                <w:iCs/>
                <w:color w:val="000000"/>
                <w:sz w:val="22"/>
              </w:rPr>
              <w:t>蔡景彦</w:t>
            </w:r>
            <w:r w:rsidRPr="00D21A22">
              <w:rPr>
                <w:rFonts w:ascii="宋体" w:hAnsi="宋体" w:hint="eastAsia"/>
                <w:bCs/>
                <w:iCs/>
                <w:color w:val="000000"/>
                <w:sz w:val="22"/>
              </w:rPr>
              <w:tab/>
            </w:r>
            <w:r w:rsidRPr="00D21A22">
              <w:rPr>
                <w:rFonts w:ascii="宋体" w:hAnsi="宋体" w:hint="eastAsia"/>
                <w:bCs/>
                <w:iCs/>
                <w:color w:val="000000"/>
                <w:sz w:val="22"/>
              </w:rPr>
              <w:tab/>
            </w:r>
          </w:p>
          <w:p w:rsidR="003E3D41" w:rsidRPr="00D21A22" w:rsidRDefault="003E3D41" w:rsidP="003E3D41">
            <w:pPr>
              <w:spacing w:line="480" w:lineRule="atLeast"/>
              <w:rPr>
                <w:rFonts w:ascii="宋体" w:hAnsi="宋体" w:hint="eastAsia"/>
                <w:bCs/>
                <w:iCs/>
                <w:color w:val="000000"/>
                <w:sz w:val="22"/>
              </w:rPr>
            </w:pPr>
            <w:r w:rsidRPr="003E3D41">
              <w:rPr>
                <w:rFonts w:ascii="宋体" w:hAnsi="宋体" w:hint="eastAsia"/>
                <w:bCs/>
                <w:iCs/>
                <w:color w:val="000000"/>
                <w:sz w:val="22"/>
              </w:rPr>
              <w:t>中银国际</w:t>
            </w:r>
            <w:r w:rsidRPr="00D21A22">
              <w:rPr>
                <w:rFonts w:ascii="宋体" w:hAnsi="宋体" w:hint="eastAsia"/>
                <w:bCs/>
                <w:iCs/>
                <w:color w:val="000000"/>
                <w:sz w:val="22"/>
              </w:rPr>
              <w:tab/>
            </w:r>
            <w:r w:rsidRPr="003E3D41">
              <w:rPr>
                <w:rFonts w:ascii="宋体" w:hAnsi="宋体" w:hint="eastAsia"/>
                <w:bCs/>
                <w:iCs/>
                <w:color w:val="000000"/>
                <w:sz w:val="22"/>
              </w:rPr>
              <w:t>赵琦</w:t>
            </w:r>
            <w:r w:rsidRPr="00D21A22">
              <w:rPr>
                <w:rFonts w:ascii="宋体" w:hAnsi="宋体" w:hint="eastAsia"/>
                <w:bCs/>
                <w:iCs/>
                <w:color w:val="000000"/>
                <w:sz w:val="22"/>
              </w:rPr>
              <w:tab/>
            </w:r>
            <w:r w:rsidRPr="00D21A22">
              <w:rPr>
                <w:rFonts w:ascii="宋体" w:hAnsi="宋体" w:hint="eastAsia"/>
                <w:bCs/>
                <w:iCs/>
                <w:color w:val="000000"/>
                <w:sz w:val="22"/>
              </w:rPr>
              <w:tab/>
            </w:r>
            <w:bookmarkStart w:id="0" w:name="_GoBack"/>
            <w:bookmarkEnd w:id="0"/>
          </w:p>
        </w:tc>
      </w:tr>
      <w:tr w:rsidR="003E3D41"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时间</w:t>
            </w: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2019-</w:t>
            </w:r>
            <w:r w:rsidRPr="00F55674">
              <w:rPr>
                <w:rFonts w:ascii="宋体" w:hAnsi="宋体"/>
                <w:bCs/>
                <w:iCs/>
                <w:color w:val="000000"/>
                <w:sz w:val="22"/>
              </w:rPr>
              <w:t>8</w:t>
            </w:r>
            <w:r w:rsidRPr="00F55674">
              <w:rPr>
                <w:rFonts w:ascii="宋体" w:hAnsi="宋体" w:hint="eastAsia"/>
                <w:bCs/>
                <w:iCs/>
                <w:color w:val="000000"/>
                <w:sz w:val="22"/>
              </w:rPr>
              <w:t>-</w:t>
            </w:r>
            <w:r w:rsidRPr="00F55674">
              <w:rPr>
                <w:rFonts w:ascii="宋体" w:hAnsi="宋体"/>
                <w:bCs/>
                <w:iCs/>
                <w:color w:val="000000"/>
                <w:sz w:val="22"/>
              </w:rPr>
              <w:t>30</w:t>
            </w:r>
            <w:r w:rsidRPr="00F55674">
              <w:rPr>
                <w:rFonts w:ascii="宋体" w:hAnsi="宋体" w:hint="eastAsia"/>
                <w:bCs/>
                <w:iCs/>
                <w:color w:val="000000"/>
                <w:sz w:val="22"/>
              </w:rPr>
              <w:t>下午1</w:t>
            </w:r>
            <w:r w:rsidRPr="00F55674">
              <w:rPr>
                <w:rFonts w:ascii="宋体" w:hAnsi="宋体"/>
                <w:bCs/>
                <w:iCs/>
                <w:color w:val="000000"/>
                <w:sz w:val="22"/>
              </w:rPr>
              <w:t>4</w:t>
            </w:r>
            <w:r w:rsidRPr="00F55674">
              <w:rPr>
                <w:rFonts w:ascii="宋体" w:hAnsi="宋体" w:hint="eastAsia"/>
                <w:bCs/>
                <w:iCs/>
                <w:color w:val="000000"/>
                <w:sz w:val="22"/>
              </w:rPr>
              <w:t>:</w:t>
            </w:r>
            <w:r w:rsidRPr="00F55674">
              <w:rPr>
                <w:rFonts w:ascii="宋体" w:hAnsi="宋体"/>
                <w:bCs/>
                <w:iCs/>
                <w:color w:val="000000"/>
                <w:sz w:val="22"/>
              </w:rPr>
              <w:t>0</w:t>
            </w:r>
            <w:r w:rsidRPr="00F55674">
              <w:rPr>
                <w:rFonts w:ascii="宋体" w:hAnsi="宋体" w:hint="eastAsia"/>
                <w:bCs/>
                <w:iCs/>
                <w:color w:val="000000"/>
                <w:sz w:val="22"/>
              </w:rPr>
              <w:t>0-1</w:t>
            </w:r>
            <w:r w:rsidRPr="00F55674">
              <w:rPr>
                <w:rFonts w:ascii="宋体" w:hAnsi="宋体"/>
                <w:bCs/>
                <w:iCs/>
                <w:color w:val="000000"/>
                <w:sz w:val="22"/>
              </w:rPr>
              <w:t>7</w:t>
            </w:r>
            <w:r w:rsidRPr="00F55674">
              <w:rPr>
                <w:rFonts w:ascii="宋体" w:hAnsi="宋体" w:hint="eastAsia"/>
                <w:bCs/>
                <w:iCs/>
                <w:color w:val="000000"/>
                <w:sz w:val="22"/>
              </w:rPr>
              <w:t>:</w:t>
            </w:r>
            <w:r w:rsidRPr="00F55674">
              <w:rPr>
                <w:rFonts w:ascii="宋体" w:hAnsi="宋体"/>
                <w:bCs/>
                <w:iCs/>
                <w:color w:val="000000"/>
                <w:sz w:val="22"/>
              </w:rPr>
              <w:t>0</w:t>
            </w:r>
            <w:r w:rsidRPr="00F55674">
              <w:rPr>
                <w:rFonts w:ascii="宋体" w:hAnsi="宋体" w:hint="eastAsia"/>
                <w:bCs/>
                <w:iCs/>
                <w:color w:val="000000"/>
                <w:sz w:val="22"/>
              </w:rPr>
              <w:t>0</w:t>
            </w:r>
          </w:p>
        </w:tc>
      </w:tr>
      <w:tr w:rsidR="003E3D41"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地点</w:t>
            </w: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昆山市巴城镇石牌塔基路1568号公司一楼会议室</w:t>
            </w:r>
          </w:p>
        </w:tc>
      </w:tr>
      <w:tr w:rsidR="003E3D41"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上市公司接待人员姓名</w:t>
            </w: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总经理 荆天平</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证券事务代表 李子</w:t>
            </w:r>
            <w:proofErr w:type="gramStart"/>
            <w:r w:rsidRPr="00F55674">
              <w:rPr>
                <w:rFonts w:ascii="宋体" w:hAnsi="宋体" w:hint="eastAsia"/>
                <w:bCs/>
                <w:iCs/>
                <w:color w:val="000000"/>
                <w:sz w:val="22"/>
              </w:rPr>
              <w:t>婧</w:t>
            </w:r>
            <w:proofErr w:type="gramEnd"/>
          </w:p>
        </w:tc>
      </w:tr>
      <w:tr w:rsidR="003E3D41"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投资者关系活动主要内容介绍</w:t>
            </w:r>
          </w:p>
          <w:p w:rsidR="003E3D41" w:rsidRPr="00F55674" w:rsidRDefault="003E3D41" w:rsidP="003E3D41">
            <w:pPr>
              <w:spacing w:line="480" w:lineRule="atLeast"/>
              <w:rPr>
                <w:rFonts w:ascii="宋体" w:hAnsi="宋体"/>
                <w:bCs/>
                <w:iCs/>
                <w:color w:val="000000"/>
                <w:sz w:val="22"/>
              </w:rPr>
            </w:pP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一、播放企业宣传片</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二、公司基本情况简介</w:t>
            </w:r>
          </w:p>
          <w:p w:rsidR="003E3D41" w:rsidRPr="00F55674" w:rsidRDefault="003E3D41" w:rsidP="003E3D41">
            <w:pPr>
              <w:spacing w:line="480" w:lineRule="atLeast"/>
              <w:ind w:firstLineChars="200" w:firstLine="440"/>
              <w:rPr>
                <w:rFonts w:ascii="宋体" w:hAnsi="宋体"/>
                <w:bCs/>
                <w:iCs/>
                <w:color w:val="000000"/>
                <w:sz w:val="22"/>
              </w:rPr>
            </w:pPr>
            <w:r w:rsidRPr="00F55674">
              <w:rPr>
                <w:rFonts w:ascii="宋体" w:hAnsi="宋体" w:hint="eastAsia"/>
                <w:bCs/>
                <w:iCs/>
                <w:color w:val="000000"/>
                <w:sz w:val="22"/>
              </w:rPr>
              <w:t>公司成立于2011年7月，是一家专业为消费电子产品提供高附加值精密功能性器件的高新科技企业，2013年8月公司首次通过了高新技术企业认证，</w:t>
            </w:r>
          </w:p>
          <w:p w:rsidR="003E3D41" w:rsidRPr="00F55674" w:rsidRDefault="003E3D41" w:rsidP="003E3D41">
            <w:pPr>
              <w:spacing w:line="480" w:lineRule="atLeast"/>
              <w:ind w:firstLineChars="100" w:firstLine="220"/>
              <w:rPr>
                <w:rFonts w:ascii="宋体" w:hAnsi="宋体"/>
                <w:bCs/>
                <w:iCs/>
                <w:color w:val="000000"/>
                <w:sz w:val="22"/>
              </w:rPr>
            </w:pPr>
            <w:r w:rsidRPr="00F55674">
              <w:rPr>
                <w:rFonts w:ascii="宋体" w:hAnsi="宋体" w:hint="eastAsia"/>
                <w:bCs/>
                <w:iCs/>
                <w:color w:val="000000"/>
                <w:sz w:val="22"/>
              </w:rPr>
              <w:t>公司主营业务为消费电子功能性器件的设计、研发、生产与销售，产品已广泛应用于手机、平板电脑、笔记本电脑、智能穿戴设备等消费电子产品及其组件。主要包括粘贴、固定、屏蔽、绝缘、缓冲、散热、防尘、防护等功能性器件。</w:t>
            </w:r>
          </w:p>
          <w:p w:rsidR="003E3D41" w:rsidRPr="00F55674" w:rsidRDefault="003E3D41" w:rsidP="003E3D41">
            <w:pPr>
              <w:spacing w:line="480" w:lineRule="atLeast"/>
              <w:ind w:firstLineChars="200" w:firstLine="440"/>
              <w:rPr>
                <w:rFonts w:ascii="宋体" w:hAnsi="宋体"/>
                <w:bCs/>
                <w:iCs/>
                <w:color w:val="000000"/>
                <w:sz w:val="22"/>
              </w:rPr>
            </w:pPr>
            <w:r w:rsidRPr="00F55674">
              <w:rPr>
                <w:rFonts w:ascii="宋体" w:hAnsi="宋体" w:hint="eastAsia"/>
                <w:bCs/>
                <w:iCs/>
                <w:color w:val="000000"/>
                <w:sz w:val="22"/>
              </w:rPr>
              <w:t>公司坚持以科技创新和绿色环保为导向，组建了高素质的技术团队，打造了完善的创新机制。公司拥有10项发明专利、50项实用新型专利，凭借自主研发与自主改进设备、自主研发自动化控制系统、OEE生产管理系统及研发项目管理系统、快速响应客户</w:t>
            </w:r>
            <w:r w:rsidRPr="00F55674">
              <w:rPr>
                <w:rFonts w:ascii="宋体" w:hAnsi="宋体" w:hint="eastAsia"/>
                <w:bCs/>
                <w:iCs/>
                <w:color w:val="000000"/>
                <w:sz w:val="22"/>
              </w:rPr>
              <w:lastRenderedPageBreak/>
              <w:t>需求的能力，获得全球知名终端品牌及制造服务商的认可与信任，建立了稳定的深度合作。</w:t>
            </w:r>
          </w:p>
          <w:p w:rsidR="003E3D41" w:rsidRPr="00F55674" w:rsidRDefault="003E3D41" w:rsidP="003E3D41">
            <w:pPr>
              <w:spacing w:line="480" w:lineRule="atLeast"/>
              <w:ind w:firstLineChars="200" w:firstLine="440"/>
              <w:rPr>
                <w:rFonts w:ascii="宋体" w:hAnsi="宋体"/>
                <w:bCs/>
                <w:iCs/>
                <w:color w:val="000000"/>
                <w:sz w:val="22"/>
              </w:rPr>
            </w:pPr>
            <w:proofErr w:type="gramStart"/>
            <w:r w:rsidRPr="00F55674">
              <w:rPr>
                <w:rFonts w:ascii="宋体" w:hAnsi="宋体" w:hint="eastAsia"/>
                <w:bCs/>
                <w:iCs/>
                <w:color w:val="000000"/>
                <w:sz w:val="22"/>
              </w:rPr>
              <w:t>恒铭达</w:t>
            </w:r>
            <w:proofErr w:type="gramEnd"/>
            <w:r w:rsidRPr="00F55674">
              <w:rPr>
                <w:rFonts w:ascii="宋体" w:hAnsi="宋体" w:hint="eastAsia"/>
                <w:bCs/>
                <w:iCs/>
                <w:color w:val="000000"/>
                <w:sz w:val="22"/>
              </w:rPr>
              <w:t>坚持“求实创新，开拓进取，永续经营，追求绿色环保，创造卓越未来”之理念，秉持感恩之心，以创新的科技实力及人文理念肩负起更多的社会责任。</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三、交流环节：</w:t>
            </w:r>
          </w:p>
          <w:p w:rsidR="003E3D41" w:rsidRPr="00F55674" w:rsidRDefault="003E3D41" w:rsidP="003E3D41">
            <w:pPr>
              <w:spacing w:line="480" w:lineRule="atLeast"/>
              <w:rPr>
                <w:rFonts w:ascii="宋体" w:hAnsi="宋体"/>
                <w:bCs/>
                <w:iCs/>
                <w:color w:val="000000"/>
                <w:sz w:val="22"/>
              </w:rPr>
            </w:pPr>
            <w:bookmarkStart w:id="1" w:name="OLE_LINK1"/>
            <w:r w:rsidRPr="00F55674">
              <w:rPr>
                <w:rFonts w:ascii="宋体" w:hAnsi="宋体" w:hint="eastAsia"/>
                <w:bCs/>
                <w:iCs/>
                <w:color w:val="000000"/>
                <w:sz w:val="22"/>
              </w:rPr>
              <w:t>Q:</w:t>
            </w:r>
            <w:r w:rsidRPr="00F55674">
              <w:rPr>
                <w:rFonts w:ascii="宋体" w:hAnsi="宋体"/>
                <w:bCs/>
                <w:iCs/>
                <w:color w:val="000000"/>
                <w:sz w:val="22"/>
              </w:rPr>
              <w:t xml:space="preserve"> </w:t>
            </w:r>
            <w:r w:rsidRPr="00F55674">
              <w:rPr>
                <w:rFonts w:ascii="宋体" w:hAnsi="宋体" w:hint="eastAsia"/>
                <w:bCs/>
                <w:iCs/>
                <w:color w:val="000000"/>
                <w:sz w:val="22"/>
              </w:rPr>
              <w:t>公司的历史沿革？</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A：公司总经理</w:t>
            </w:r>
            <w:proofErr w:type="gramStart"/>
            <w:r w:rsidRPr="00F55674">
              <w:rPr>
                <w:rFonts w:ascii="宋体" w:hAnsi="宋体" w:hint="eastAsia"/>
                <w:bCs/>
                <w:iCs/>
                <w:color w:val="000000"/>
                <w:sz w:val="22"/>
              </w:rPr>
              <w:t>对恒铭达</w:t>
            </w:r>
            <w:proofErr w:type="gramEnd"/>
            <w:r w:rsidRPr="00F55674">
              <w:rPr>
                <w:rFonts w:ascii="宋体" w:hAnsi="宋体" w:hint="eastAsia"/>
                <w:bCs/>
                <w:iCs/>
                <w:color w:val="000000"/>
                <w:sz w:val="22"/>
              </w:rPr>
              <w:t>自创立之初至今的历史沿革</w:t>
            </w:r>
            <w:proofErr w:type="gramStart"/>
            <w:r w:rsidRPr="00F55674">
              <w:rPr>
                <w:rFonts w:ascii="宋体" w:hAnsi="宋体" w:hint="eastAsia"/>
                <w:bCs/>
                <w:iCs/>
                <w:color w:val="000000"/>
                <w:sz w:val="22"/>
              </w:rPr>
              <w:t>作出</w:t>
            </w:r>
            <w:proofErr w:type="gramEnd"/>
            <w:r w:rsidRPr="00F55674">
              <w:rPr>
                <w:rFonts w:ascii="宋体" w:hAnsi="宋体" w:hint="eastAsia"/>
                <w:bCs/>
                <w:iCs/>
                <w:color w:val="000000"/>
                <w:sz w:val="22"/>
              </w:rPr>
              <w:t>详尽陈述。</w:t>
            </w:r>
          </w:p>
          <w:bookmarkEnd w:id="1"/>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Q:</w:t>
            </w:r>
            <w:r w:rsidRPr="00F55674">
              <w:rPr>
                <w:rFonts w:ascii="宋体" w:hAnsi="宋体"/>
                <w:bCs/>
                <w:iCs/>
                <w:color w:val="000000"/>
                <w:sz w:val="22"/>
              </w:rPr>
              <w:t xml:space="preserve"> </w:t>
            </w:r>
            <w:r w:rsidRPr="00F55674">
              <w:rPr>
                <w:rFonts w:ascii="宋体" w:hAnsi="宋体" w:hint="eastAsia"/>
                <w:bCs/>
                <w:iCs/>
                <w:color w:val="000000"/>
                <w:sz w:val="22"/>
              </w:rPr>
              <w:t>公司的核心竞争力？</w:t>
            </w:r>
          </w:p>
          <w:p w:rsidR="003E3D41" w:rsidRPr="00F55674" w:rsidRDefault="003E3D41" w:rsidP="003E3D41">
            <w:pPr>
              <w:spacing w:line="480" w:lineRule="atLeast"/>
              <w:rPr>
                <w:bCs/>
                <w:iCs/>
                <w:color w:val="000000"/>
                <w:sz w:val="22"/>
              </w:rPr>
            </w:pPr>
            <w:r w:rsidRPr="00F55674">
              <w:rPr>
                <w:rFonts w:ascii="宋体" w:hAnsi="宋体" w:hint="eastAsia"/>
                <w:bCs/>
                <w:iCs/>
                <w:color w:val="000000"/>
                <w:sz w:val="22"/>
              </w:rPr>
              <w:t>A：</w:t>
            </w:r>
            <w:proofErr w:type="gramStart"/>
            <w:r w:rsidRPr="00F55674">
              <w:rPr>
                <w:rFonts w:hint="eastAsia"/>
                <w:bCs/>
                <w:iCs/>
                <w:color w:val="000000"/>
                <w:sz w:val="22"/>
              </w:rPr>
              <w:t>恒铭达</w:t>
            </w:r>
            <w:proofErr w:type="gramEnd"/>
            <w:r w:rsidRPr="00F55674">
              <w:rPr>
                <w:rFonts w:hint="eastAsia"/>
                <w:bCs/>
                <w:iCs/>
                <w:color w:val="000000"/>
                <w:sz w:val="22"/>
              </w:rPr>
              <w:t>凭借在消费电子功能性器件领域的技术研发优势、丰富的生产经验、创新的生产工艺、高精密与高品质的产品及快速响应能力，能够参与终端品牌客户产品的设计、研发环节，为客户提供产品的设计、研发、材料选型、产品试制与测试、批量生产、及时配送及后续跟踪服务等一体化综合解决方案。</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Q: 主要的产品种类？</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A：</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1.缓冲类功能性器件</w:t>
            </w:r>
            <w:r>
              <w:rPr>
                <w:rFonts w:ascii="宋体" w:hAnsi="宋体" w:hint="eastAsia"/>
                <w:bCs/>
                <w:iCs/>
                <w:color w:val="000000"/>
                <w:sz w:val="22"/>
              </w:rPr>
              <w:t>，</w:t>
            </w:r>
            <w:r w:rsidRPr="00F55674">
              <w:rPr>
                <w:rFonts w:ascii="宋体" w:hAnsi="宋体" w:hint="eastAsia"/>
                <w:bCs/>
                <w:iCs/>
                <w:color w:val="000000"/>
                <w:sz w:val="22"/>
              </w:rPr>
              <w:t>主要产品为缓冲泡棉；</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2.屏蔽类功能性器件</w:t>
            </w:r>
            <w:r>
              <w:rPr>
                <w:rFonts w:ascii="宋体" w:hAnsi="宋体" w:hint="eastAsia"/>
                <w:bCs/>
                <w:iCs/>
                <w:color w:val="000000"/>
                <w:sz w:val="22"/>
              </w:rPr>
              <w:t>，</w:t>
            </w:r>
            <w:r w:rsidRPr="00F55674">
              <w:rPr>
                <w:rFonts w:ascii="宋体" w:hAnsi="宋体" w:hint="eastAsia"/>
                <w:bCs/>
                <w:iCs/>
                <w:color w:val="000000"/>
                <w:sz w:val="22"/>
              </w:rPr>
              <w:t>主要</w:t>
            </w:r>
            <w:proofErr w:type="gramStart"/>
            <w:r w:rsidRPr="00F55674">
              <w:rPr>
                <w:rFonts w:ascii="宋体" w:hAnsi="宋体" w:hint="eastAsia"/>
                <w:bCs/>
                <w:iCs/>
                <w:color w:val="000000"/>
                <w:sz w:val="22"/>
              </w:rPr>
              <w:t>产品为覆铜板</w:t>
            </w:r>
            <w:proofErr w:type="gramEnd"/>
            <w:r w:rsidRPr="00F55674">
              <w:rPr>
                <w:rFonts w:ascii="宋体" w:hAnsi="宋体" w:hint="eastAsia"/>
                <w:bCs/>
                <w:iCs/>
                <w:color w:val="000000"/>
                <w:sz w:val="22"/>
              </w:rPr>
              <w:t>、吸波材、导电胶、导电布、导电泡棉、铜箔、铝箔等；</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3.防护类功能性器件</w:t>
            </w:r>
            <w:r>
              <w:rPr>
                <w:rFonts w:ascii="宋体" w:hAnsi="宋体" w:hint="eastAsia"/>
                <w:bCs/>
                <w:iCs/>
                <w:color w:val="000000"/>
                <w:sz w:val="22"/>
              </w:rPr>
              <w:t>，</w:t>
            </w:r>
            <w:r w:rsidRPr="00F55674">
              <w:rPr>
                <w:rFonts w:ascii="宋体" w:hAnsi="宋体" w:hint="eastAsia"/>
                <w:bCs/>
                <w:iCs/>
                <w:color w:val="000000"/>
                <w:sz w:val="22"/>
              </w:rPr>
              <w:t>主要产品为保护膜等；</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4.粘贴、</w:t>
            </w:r>
            <w:proofErr w:type="gramStart"/>
            <w:r w:rsidRPr="00F55674">
              <w:rPr>
                <w:rFonts w:ascii="宋体" w:hAnsi="宋体" w:hint="eastAsia"/>
                <w:bCs/>
                <w:iCs/>
                <w:color w:val="000000"/>
                <w:sz w:val="22"/>
              </w:rPr>
              <w:t>固定类</w:t>
            </w:r>
            <w:proofErr w:type="gramEnd"/>
            <w:r w:rsidRPr="00F55674">
              <w:rPr>
                <w:rFonts w:ascii="宋体" w:hAnsi="宋体" w:hint="eastAsia"/>
                <w:bCs/>
                <w:iCs/>
                <w:color w:val="000000"/>
                <w:sz w:val="22"/>
              </w:rPr>
              <w:t>功能性器件</w:t>
            </w:r>
            <w:r>
              <w:rPr>
                <w:rFonts w:ascii="宋体" w:hAnsi="宋体" w:hint="eastAsia"/>
                <w:bCs/>
                <w:iCs/>
                <w:color w:val="000000"/>
                <w:sz w:val="22"/>
              </w:rPr>
              <w:t>，</w:t>
            </w:r>
            <w:r w:rsidRPr="00F55674">
              <w:rPr>
                <w:rFonts w:ascii="宋体" w:hAnsi="宋体" w:hint="eastAsia"/>
                <w:bCs/>
                <w:iCs/>
                <w:color w:val="000000"/>
                <w:sz w:val="22"/>
              </w:rPr>
              <w:t>主要产品为各类型的双面胶、热熔胶、泡棉胶等 ；</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5.散热类功能性器件</w:t>
            </w:r>
            <w:r>
              <w:rPr>
                <w:rFonts w:ascii="宋体" w:hAnsi="宋体" w:hint="eastAsia"/>
                <w:bCs/>
                <w:iCs/>
                <w:color w:val="000000"/>
                <w:sz w:val="22"/>
              </w:rPr>
              <w:t>，</w:t>
            </w:r>
            <w:r w:rsidRPr="00F55674">
              <w:rPr>
                <w:rFonts w:ascii="宋体" w:hAnsi="宋体" w:hint="eastAsia"/>
                <w:bCs/>
                <w:iCs/>
                <w:color w:val="000000"/>
                <w:sz w:val="22"/>
              </w:rPr>
              <w:t>主要产品为石墨片、硅胶片等；</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6.防尘类功能性器件</w:t>
            </w:r>
            <w:r>
              <w:rPr>
                <w:rFonts w:ascii="宋体" w:hAnsi="宋体" w:hint="eastAsia"/>
                <w:bCs/>
                <w:iCs/>
                <w:color w:val="000000"/>
                <w:sz w:val="22"/>
              </w:rPr>
              <w:t>，</w:t>
            </w:r>
            <w:r w:rsidRPr="00F55674">
              <w:rPr>
                <w:rFonts w:ascii="宋体" w:hAnsi="宋体" w:hint="eastAsia"/>
                <w:bCs/>
                <w:iCs/>
                <w:color w:val="000000"/>
                <w:sz w:val="22"/>
              </w:rPr>
              <w:t>主要产品为防尘网等；</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7.绝缘类功能性器件，主要产品为绝缘片。</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Q:</w:t>
            </w:r>
            <w:r w:rsidRPr="00F55674">
              <w:rPr>
                <w:rFonts w:ascii="宋体" w:hAnsi="宋体"/>
                <w:bCs/>
                <w:iCs/>
                <w:color w:val="000000"/>
                <w:sz w:val="22"/>
              </w:rPr>
              <w:t xml:space="preserve"> </w:t>
            </w:r>
            <w:r w:rsidRPr="00F55674">
              <w:rPr>
                <w:rFonts w:ascii="宋体" w:hAnsi="宋体" w:hint="eastAsia"/>
                <w:bCs/>
                <w:iCs/>
                <w:color w:val="000000"/>
                <w:sz w:val="22"/>
              </w:rPr>
              <w:t>公司的未来布局？</w:t>
            </w:r>
          </w:p>
          <w:p w:rsidR="003E3D41"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A：</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1、技术研发计划</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lastRenderedPageBreak/>
              <w:t>公司将以市场需求为导向，持续增加研发投入，密切追踪最新技术及发展趋势，持续开展对新技术的研究，加快产品创新，确保不断推出高附加值、高品质的新产品，从而保持公司的竞争优势和可持续发展；积极培养和引进高水平的技术研发人才，进一步提升研发队伍的创新能力，不断完善研发管理机制和创新激励机制，对在技术研发、产品创新、专利申请等方面做出贡献的技术研发人员均应给予相应的奖励，激发技术研发人员的工作热情；继续加大先进生产设备、检测设备、智能化系统软件的投入力度，搭建更好的研发实验环境，为技术突破和产品创新提供重要的基础和保障。</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2、规模扩充和向上游扩展计划</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随着手机、平板电脑、笔记本电脑、智能穿戴设备等消费电子行业的快速发展，公司产品将继续面临良好的发展机遇，公司拟运用募集资金投资于电子材料与器件升级及产业化项目，进一步扩大经营规模，优化产品结构，提高公司市场竞争力。同时，公司将根据原材料运用经验，积极向上游新材料领域拓展，延伸公司产业链。</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3、人才培养和扩充计划</w:t>
            </w:r>
          </w:p>
          <w:p w:rsidR="003E3D41"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公司将根据业务发展需求，重点培养和引进技术研发、生产、管理、营销等方面的专业人才，优化员工结构，满足企业长期稳定的发展需求。公司将采取内部培养与外部引进相结合的方式，积极探索与高校联合培养人才的相关制度，为企业发展定向培养人才；加大培训投入，完善培训制度及培训体系，提高员工的工作技能和素质，建立一支能够适应企业现代化管理和公司未来发展需求的高水平、高素质的员工队伍；鼓励员工参与各种职业技术培训和职业技能鉴定，激发员工的学习意识、创新意识和工作能力，发挥员工自身的潜能；进一步</w:t>
            </w:r>
            <w:proofErr w:type="gramStart"/>
            <w:r w:rsidRPr="00F55674">
              <w:rPr>
                <w:rFonts w:ascii="宋体" w:hAnsi="宋体" w:hint="eastAsia"/>
                <w:bCs/>
                <w:iCs/>
                <w:color w:val="000000"/>
                <w:sz w:val="22"/>
              </w:rPr>
              <w:t>健全员工薪酬</w:t>
            </w:r>
            <w:proofErr w:type="gramEnd"/>
            <w:r w:rsidRPr="00F55674">
              <w:rPr>
                <w:rFonts w:ascii="宋体" w:hAnsi="宋体" w:hint="eastAsia"/>
                <w:bCs/>
                <w:iCs/>
                <w:color w:val="000000"/>
                <w:sz w:val="22"/>
              </w:rPr>
              <w:t>考核与激励制度，持续提高员工的薪酬待遇，激发员工的工作积极性和价值创造动力。</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4、市场和业务拓展计划</w:t>
            </w:r>
          </w:p>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lastRenderedPageBreak/>
              <w:t>公司将持续收集消费电子行业市场与技术动态信息，密切关注客户需求，保证自身产品对客户需求的适应性和技术先进性。公司将继续巩固、优化与现有优质客户的合作关系，增强客户粘性，在满足现有客户产品需求的同时，深度挖掘现有客户的其他需求，积极拓展与现有客户在关联产品方面的合作；积极拓展国内外其他知名客户，不断支持公司扩大业务规模。公司将进一步加强销售团队建设，提升市场营销水平，在产品销售、服务、信息反馈等环节为客户提供专业化的服务和解决方案。公司将定期对营销人员进行培训，培养既有销售服务能力又懂专业技术的队伍，从而完善销售服务内容，提高服务的专业性和响应速度。</w:t>
            </w:r>
          </w:p>
          <w:p w:rsidR="003E3D41" w:rsidRPr="00F55674" w:rsidRDefault="003E3D41" w:rsidP="003E3D41">
            <w:pPr>
              <w:spacing w:line="480" w:lineRule="atLeast"/>
              <w:rPr>
                <w:rFonts w:ascii="宋体" w:hAnsi="宋体"/>
                <w:bCs/>
                <w:iCs/>
                <w:color w:val="000000"/>
                <w:sz w:val="22"/>
              </w:rPr>
            </w:pPr>
          </w:p>
        </w:tc>
      </w:tr>
      <w:tr w:rsidR="003E3D41"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lastRenderedPageBreak/>
              <w:t>附件清单（如有）</w:t>
            </w: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p>
        </w:tc>
      </w:tr>
      <w:tr w:rsidR="003E3D41" w:rsidRPr="00F55674" w:rsidTr="003E3D41">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日期</w:t>
            </w: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3E3D41" w:rsidRPr="00F55674" w:rsidRDefault="003E3D41" w:rsidP="003E3D41">
            <w:pPr>
              <w:spacing w:line="480" w:lineRule="atLeast"/>
              <w:rPr>
                <w:rFonts w:ascii="宋体" w:hAnsi="宋体"/>
                <w:bCs/>
                <w:iCs/>
                <w:color w:val="000000"/>
                <w:sz w:val="22"/>
              </w:rPr>
            </w:pPr>
            <w:r w:rsidRPr="00F55674">
              <w:rPr>
                <w:rFonts w:ascii="宋体" w:hAnsi="宋体" w:hint="eastAsia"/>
                <w:bCs/>
                <w:iCs/>
                <w:color w:val="000000"/>
                <w:sz w:val="22"/>
              </w:rPr>
              <w:t>2019-0</w:t>
            </w:r>
            <w:r w:rsidRPr="00F55674">
              <w:rPr>
                <w:rFonts w:ascii="宋体" w:hAnsi="宋体"/>
                <w:bCs/>
                <w:iCs/>
                <w:color w:val="000000"/>
                <w:sz w:val="22"/>
              </w:rPr>
              <w:t>8</w:t>
            </w:r>
            <w:r w:rsidRPr="00F55674">
              <w:rPr>
                <w:rFonts w:ascii="宋体" w:hAnsi="宋体" w:hint="eastAsia"/>
                <w:bCs/>
                <w:iCs/>
                <w:color w:val="000000"/>
                <w:sz w:val="22"/>
              </w:rPr>
              <w:t>-</w:t>
            </w:r>
            <w:r w:rsidRPr="00F55674">
              <w:rPr>
                <w:rFonts w:ascii="宋体" w:hAnsi="宋体"/>
                <w:bCs/>
                <w:iCs/>
                <w:color w:val="000000"/>
                <w:sz w:val="22"/>
              </w:rPr>
              <w:t>30</w:t>
            </w:r>
          </w:p>
        </w:tc>
      </w:tr>
    </w:tbl>
    <w:p w:rsidR="00005DB8" w:rsidRPr="00F55674" w:rsidRDefault="00005DB8" w:rsidP="00FA098F">
      <w:pPr>
        <w:jc w:val="center"/>
        <w:rPr>
          <w:bCs/>
          <w:sz w:val="20"/>
        </w:rPr>
      </w:pPr>
    </w:p>
    <w:sectPr w:rsidR="00005DB8" w:rsidRPr="00F556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DCB" w:rsidRDefault="009E7DCB" w:rsidP="003B37FF">
      <w:r>
        <w:separator/>
      </w:r>
    </w:p>
  </w:endnote>
  <w:endnote w:type="continuationSeparator" w:id="0">
    <w:p w:rsidR="009E7DCB" w:rsidRDefault="009E7DCB" w:rsidP="003B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2515"/>
      <w:docPartObj>
        <w:docPartGallery w:val="Page Numbers (Bottom of Page)"/>
        <w:docPartUnique/>
      </w:docPartObj>
    </w:sdtPr>
    <w:sdtEndPr/>
    <w:sdtContent>
      <w:sdt>
        <w:sdtPr>
          <w:id w:val="-1669238322"/>
          <w:docPartObj>
            <w:docPartGallery w:val="Page Numbers (Top of Page)"/>
            <w:docPartUnique/>
          </w:docPartObj>
        </w:sdtPr>
        <w:sdtEndPr/>
        <w:sdtContent>
          <w:p w:rsidR="003B37FF" w:rsidRDefault="003B37F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A098F">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A098F">
              <w:rPr>
                <w:b/>
                <w:bCs/>
                <w:noProof/>
              </w:rPr>
              <w:t>5</w:t>
            </w:r>
            <w:r>
              <w:rPr>
                <w:b/>
                <w:bCs/>
                <w:sz w:val="24"/>
                <w:szCs w:val="24"/>
              </w:rPr>
              <w:fldChar w:fldCharType="end"/>
            </w:r>
          </w:p>
        </w:sdtContent>
      </w:sdt>
    </w:sdtContent>
  </w:sdt>
  <w:p w:rsidR="003B37FF" w:rsidRDefault="003B37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DCB" w:rsidRDefault="009E7DCB" w:rsidP="003B37FF">
      <w:r>
        <w:separator/>
      </w:r>
    </w:p>
  </w:footnote>
  <w:footnote w:type="continuationSeparator" w:id="0">
    <w:p w:rsidR="009E7DCB" w:rsidRDefault="009E7DCB" w:rsidP="003B3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1F"/>
    <w:rsid w:val="00005DB8"/>
    <w:rsid w:val="00050AEC"/>
    <w:rsid w:val="0007483B"/>
    <w:rsid w:val="001037C2"/>
    <w:rsid w:val="0011410E"/>
    <w:rsid w:val="001B0F94"/>
    <w:rsid w:val="001B11FE"/>
    <w:rsid w:val="001C73B9"/>
    <w:rsid w:val="0026385E"/>
    <w:rsid w:val="002A7E4C"/>
    <w:rsid w:val="0039276D"/>
    <w:rsid w:val="003B37FF"/>
    <w:rsid w:val="003C77B0"/>
    <w:rsid w:val="003E3D41"/>
    <w:rsid w:val="00430CC1"/>
    <w:rsid w:val="004B2D85"/>
    <w:rsid w:val="0050395C"/>
    <w:rsid w:val="005242D4"/>
    <w:rsid w:val="0067216E"/>
    <w:rsid w:val="00674803"/>
    <w:rsid w:val="00684532"/>
    <w:rsid w:val="006E5DF4"/>
    <w:rsid w:val="0077005E"/>
    <w:rsid w:val="007B456A"/>
    <w:rsid w:val="008065AA"/>
    <w:rsid w:val="008536EC"/>
    <w:rsid w:val="00882AC1"/>
    <w:rsid w:val="009E7DCB"/>
    <w:rsid w:val="00A805E2"/>
    <w:rsid w:val="00A870A8"/>
    <w:rsid w:val="00A93FBF"/>
    <w:rsid w:val="00B84AF6"/>
    <w:rsid w:val="00BC548C"/>
    <w:rsid w:val="00C06FDB"/>
    <w:rsid w:val="00C11702"/>
    <w:rsid w:val="00C3350B"/>
    <w:rsid w:val="00C8079B"/>
    <w:rsid w:val="00CE35AD"/>
    <w:rsid w:val="00CF4AD3"/>
    <w:rsid w:val="00D21A22"/>
    <w:rsid w:val="00D7417B"/>
    <w:rsid w:val="00DA585E"/>
    <w:rsid w:val="00DB361F"/>
    <w:rsid w:val="00E059C6"/>
    <w:rsid w:val="00ED264C"/>
    <w:rsid w:val="00EF19B1"/>
    <w:rsid w:val="00F55674"/>
    <w:rsid w:val="00F63E1E"/>
    <w:rsid w:val="00F94054"/>
    <w:rsid w:val="00FA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B667"/>
  <w15:docId w15:val="{A40CB0DA-D700-4B71-9E60-B9567F4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7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37FF"/>
    <w:rPr>
      <w:rFonts w:ascii="Times New Roman" w:eastAsia="宋体" w:hAnsi="Times New Roman" w:cs="Times New Roman"/>
      <w:sz w:val="18"/>
      <w:szCs w:val="18"/>
    </w:rPr>
  </w:style>
  <w:style w:type="paragraph" w:styleId="a5">
    <w:name w:val="footer"/>
    <w:basedOn w:val="a"/>
    <w:link w:val="a6"/>
    <w:uiPriority w:val="99"/>
    <w:unhideWhenUsed/>
    <w:rsid w:val="003B37FF"/>
    <w:pPr>
      <w:tabs>
        <w:tab w:val="center" w:pos="4153"/>
        <w:tab w:val="right" w:pos="8306"/>
      </w:tabs>
      <w:snapToGrid w:val="0"/>
      <w:jc w:val="left"/>
    </w:pPr>
    <w:rPr>
      <w:sz w:val="18"/>
      <w:szCs w:val="18"/>
    </w:rPr>
  </w:style>
  <w:style w:type="character" w:customStyle="1" w:styleId="a6">
    <w:name w:val="页脚 字符"/>
    <w:basedOn w:val="a0"/>
    <w:link w:val="a5"/>
    <w:uiPriority w:val="99"/>
    <w:rsid w:val="003B37FF"/>
    <w:rPr>
      <w:rFonts w:ascii="Times New Roman" w:eastAsia="宋体" w:hAnsi="Times New Roman" w:cs="Times New Roman"/>
      <w:sz w:val="18"/>
      <w:szCs w:val="18"/>
    </w:rPr>
  </w:style>
  <w:style w:type="paragraph" w:styleId="a7">
    <w:name w:val="Normal (Web)"/>
    <w:basedOn w:val="a"/>
    <w:uiPriority w:val="99"/>
    <w:semiHidden/>
    <w:unhideWhenUsed/>
    <w:rsid w:val="00CE35A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622">
      <w:bodyDiv w:val="1"/>
      <w:marLeft w:val="0"/>
      <w:marRight w:val="0"/>
      <w:marTop w:val="0"/>
      <w:marBottom w:val="0"/>
      <w:divBdr>
        <w:top w:val="none" w:sz="0" w:space="0" w:color="auto"/>
        <w:left w:val="none" w:sz="0" w:space="0" w:color="auto"/>
        <w:bottom w:val="none" w:sz="0" w:space="0" w:color="auto"/>
        <w:right w:val="none" w:sz="0" w:space="0" w:color="auto"/>
      </w:divBdr>
      <w:divsChild>
        <w:div w:id="1883860976">
          <w:marLeft w:val="274"/>
          <w:marRight w:val="0"/>
          <w:marTop w:val="0"/>
          <w:marBottom w:val="0"/>
          <w:divBdr>
            <w:top w:val="none" w:sz="0" w:space="0" w:color="auto"/>
            <w:left w:val="none" w:sz="0" w:space="0" w:color="auto"/>
            <w:bottom w:val="none" w:sz="0" w:space="0" w:color="auto"/>
            <w:right w:val="none" w:sz="0" w:space="0" w:color="auto"/>
          </w:divBdr>
        </w:div>
      </w:divsChild>
    </w:div>
    <w:div w:id="281227222">
      <w:bodyDiv w:val="1"/>
      <w:marLeft w:val="0"/>
      <w:marRight w:val="0"/>
      <w:marTop w:val="0"/>
      <w:marBottom w:val="0"/>
      <w:divBdr>
        <w:top w:val="none" w:sz="0" w:space="0" w:color="auto"/>
        <w:left w:val="none" w:sz="0" w:space="0" w:color="auto"/>
        <w:bottom w:val="none" w:sz="0" w:space="0" w:color="auto"/>
        <w:right w:val="none" w:sz="0" w:space="0" w:color="auto"/>
      </w:divBdr>
    </w:div>
    <w:div w:id="566113865">
      <w:bodyDiv w:val="1"/>
      <w:marLeft w:val="0"/>
      <w:marRight w:val="0"/>
      <w:marTop w:val="0"/>
      <w:marBottom w:val="0"/>
      <w:divBdr>
        <w:top w:val="none" w:sz="0" w:space="0" w:color="auto"/>
        <w:left w:val="none" w:sz="0" w:space="0" w:color="auto"/>
        <w:bottom w:val="none" w:sz="0" w:space="0" w:color="auto"/>
        <w:right w:val="none" w:sz="0" w:space="0" w:color="auto"/>
      </w:divBdr>
    </w:div>
    <w:div w:id="731125923">
      <w:bodyDiv w:val="1"/>
      <w:marLeft w:val="0"/>
      <w:marRight w:val="0"/>
      <w:marTop w:val="0"/>
      <w:marBottom w:val="0"/>
      <w:divBdr>
        <w:top w:val="none" w:sz="0" w:space="0" w:color="auto"/>
        <w:left w:val="none" w:sz="0" w:space="0" w:color="auto"/>
        <w:bottom w:val="none" w:sz="0" w:space="0" w:color="auto"/>
        <w:right w:val="none" w:sz="0" w:space="0" w:color="auto"/>
      </w:divBdr>
      <w:divsChild>
        <w:div w:id="493305715">
          <w:marLeft w:val="446"/>
          <w:marRight w:val="0"/>
          <w:marTop w:val="0"/>
          <w:marBottom w:val="0"/>
          <w:divBdr>
            <w:top w:val="none" w:sz="0" w:space="0" w:color="auto"/>
            <w:left w:val="none" w:sz="0" w:space="0" w:color="auto"/>
            <w:bottom w:val="none" w:sz="0" w:space="0" w:color="auto"/>
            <w:right w:val="none" w:sz="0" w:space="0" w:color="auto"/>
          </w:divBdr>
        </w:div>
      </w:divsChild>
    </w:div>
    <w:div w:id="1133593911">
      <w:bodyDiv w:val="1"/>
      <w:marLeft w:val="0"/>
      <w:marRight w:val="0"/>
      <w:marTop w:val="0"/>
      <w:marBottom w:val="0"/>
      <w:divBdr>
        <w:top w:val="none" w:sz="0" w:space="0" w:color="auto"/>
        <w:left w:val="none" w:sz="0" w:space="0" w:color="auto"/>
        <w:bottom w:val="none" w:sz="0" w:space="0" w:color="auto"/>
        <w:right w:val="none" w:sz="0" w:space="0" w:color="auto"/>
      </w:divBdr>
      <w:divsChild>
        <w:div w:id="878861804">
          <w:marLeft w:val="274"/>
          <w:marRight w:val="0"/>
          <w:marTop w:val="0"/>
          <w:marBottom w:val="0"/>
          <w:divBdr>
            <w:top w:val="none" w:sz="0" w:space="0" w:color="auto"/>
            <w:left w:val="none" w:sz="0" w:space="0" w:color="auto"/>
            <w:bottom w:val="none" w:sz="0" w:space="0" w:color="auto"/>
            <w:right w:val="none" w:sz="0" w:space="0" w:color="auto"/>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
    <w:div w:id="1788156476">
      <w:bodyDiv w:val="1"/>
      <w:marLeft w:val="0"/>
      <w:marRight w:val="0"/>
      <w:marTop w:val="0"/>
      <w:marBottom w:val="0"/>
      <w:divBdr>
        <w:top w:val="none" w:sz="0" w:space="0" w:color="auto"/>
        <w:left w:val="none" w:sz="0" w:space="0" w:color="auto"/>
        <w:bottom w:val="none" w:sz="0" w:space="0" w:color="auto"/>
        <w:right w:val="none" w:sz="0" w:space="0" w:color="auto"/>
      </w:divBdr>
    </w:div>
    <w:div w:id="1801070784">
      <w:bodyDiv w:val="1"/>
      <w:marLeft w:val="0"/>
      <w:marRight w:val="0"/>
      <w:marTop w:val="0"/>
      <w:marBottom w:val="0"/>
      <w:divBdr>
        <w:top w:val="none" w:sz="0" w:space="0" w:color="auto"/>
        <w:left w:val="none" w:sz="0" w:space="0" w:color="auto"/>
        <w:bottom w:val="none" w:sz="0" w:space="0" w:color="auto"/>
        <w:right w:val="none" w:sz="0" w:space="0" w:color="auto"/>
      </w:divBdr>
    </w:div>
    <w:div w:id="1941832117">
      <w:bodyDiv w:val="1"/>
      <w:marLeft w:val="0"/>
      <w:marRight w:val="0"/>
      <w:marTop w:val="0"/>
      <w:marBottom w:val="0"/>
      <w:divBdr>
        <w:top w:val="none" w:sz="0" w:space="0" w:color="auto"/>
        <w:left w:val="none" w:sz="0" w:space="0" w:color="auto"/>
        <w:bottom w:val="none" w:sz="0" w:space="0" w:color="auto"/>
        <w:right w:val="none" w:sz="0" w:space="0" w:color="auto"/>
      </w:divBdr>
    </w:div>
    <w:div w:id="2108307625">
      <w:bodyDiv w:val="1"/>
      <w:marLeft w:val="0"/>
      <w:marRight w:val="0"/>
      <w:marTop w:val="0"/>
      <w:marBottom w:val="0"/>
      <w:divBdr>
        <w:top w:val="none" w:sz="0" w:space="0" w:color="auto"/>
        <w:left w:val="none" w:sz="0" w:space="0" w:color="auto"/>
        <w:bottom w:val="none" w:sz="0" w:space="0" w:color="auto"/>
        <w:right w:val="none" w:sz="0" w:space="0" w:color="auto"/>
      </w:divBdr>
      <w:divsChild>
        <w:div w:id="373120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Li Zijing</cp:lastModifiedBy>
  <cp:revision>5</cp:revision>
  <dcterms:created xsi:type="dcterms:W3CDTF">2019-08-30T09:57:00Z</dcterms:created>
  <dcterms:modified xsi:type="dcterms:W3CDTF">2019-08-30T11:12:00Z</dcterms:modified>
</cp:coreProperties>
</file>