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ascii="Times New Roman" w:hAnsi="Times New Roman"/>
          <w:bCs/>
          <w:iCs/>
          <w:color w:val="000000"/>
          <w:sz w:val="24"/>
        </w:rPr>
      </w:pPr>
      <w:r>
        <w:rPr>
          <w:rFonts w:ascii="Times New Roman" w:hAnsi="Times New Roman"/>
          <w:bCs/>
          <w:iCs/>
          <w:color w:val="000000"/>
          <w:sz w:val="24"/>
        </w:rPr>
        <w:t>证券代码：300098</w:t>
      </w:r>
      <w:r>
        <w:rPr>
          <w:rFonts w:hint="eastAsia" w:ascii="Times New Roman" w:hAnsi="Times New Roman"/>
          <w:bCs/>
          <w:iCs/>
          <w:color w:val="000000"/>
          <w:sz w:val="24"/>
        </w:rPr>
        <w:t xml:space="preserve">                                     </w:t>
      </w:r>
      <w:r>
        <w:rPr>
          <w:rFonts w:ascii="Times New Roman" w:hAnsi="Times New Roman"/>
          <w:bCs/>
          <w:iCs/>
          <w:color w:val="000000"/>
          <w:sz w:val="24"/>
        </w:rPr>
        <w:t>证券简称：高新兴</w:t>
      </w:r>
    </w:p>
    <w:p>
      <w:pPr>
        <w:spacing w:before="312" w:beforeLines="100" w:line="360" w:lineRule="auto"/>
        <w:jc w:val="center"/>
        <w:rPr>
          <w:rFonts w:ascii="Times New Roman" w:hAnsi="Times New Roman"/>
          <w:b/>
          <w:sz w:val="30"/>
          <w:szCs w:val="30"/>
        </w:rPr>
      </w:pPr>
      <w:r>
        <w:rPr>
          <w:rFonts w:ascii="Times New Roman" w:hAnsi="Times New Roman"/>
          <w:b/>
          <w:sz w:val="30"/>
          <w:szCs w:val="30"/>
        </w:rPr>
        <w:t>高新兴科技集团股份有限公司</w:t>
      </w:r>
    </w:p>
    <w:p>
      <w:pPr>
        <w:spacing w:after="312" w:afterLines="100" w:line="360" w:lineRule="auto"/>
        <w:jc w:val="center"/>
        <w:rPr>
          <w:rFonts w:ascii="Times New Roman" w:hAnsi="Times New Roman"/>
          <w:b/>
          <w:sz w:val="30"/>
          <w:szCs w:val="30"/>
        </w:rPr>
      </w:pPr>
      <w:r>
        <w:rPr>
          <w:rFonts w:ascii="Times New Roman" w:hAnsi="Times New Roman"/>
          <w:b/>
          <w:sz w:val="30"/>
          <w:szCs w:val="30"/>
        </w:rPr>
        <w:t>投资者关系活动记录表</w:t>
      </w:r>
    </w:p>
    <w:p>
      <w:pPr>
        <w:spacing w:line="400" w:lineRule="exact"/>
        <w:jc w:val="right"/>
        <w:rPr>
          <w:rFonts w:ascii="Times New Roman" w:hAnsi="Times New Roman"/>
          <w:bCs/>
          <w:iCs/>
          <w:color w:val="000000"/>
          <w:sz w:val="24"/>
        </w:rPr>
      </w:pPr>
      <w:r>
        <w:rPr>
          <w:rFonts w:ascii="Times New Roman" w:hAnsi="Times New Roman"/>
          <w:bCs/>
          <w:iCs/>
          <w:color w:val="000000"/>
          <w:sz w:val="24"/>
        </w:rPr>
        <w:t>编号：201900</w:t>
      </w:r>
      <w:r>
        <w:rPr>
          <w:rFonts w:hint="eastAsia" w:ascii="Times New Roman" w:hAnsi="Times New Roman"/>
          <w:bCs/>
          <w:iCs/>
          <w:color w:val="000000"/>
          <w:sz w:val="24"/>
        </w:rPr>
        <w:t>7</w:t>
      </w:r>
    </w:p>
    <w:tbl>
      <w:tblPr>
        <w:tblStyle w:val="8"/>
        <w:tblW w:w="82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490"/>
        <w:gridCol w:w="6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iCs/>
                <w:color w:val="000000"/>
                <w:szCs w:val="21"/>
              </w:rPr>
            </w:pPr>
            <w:r>
              <w:rPr>
                <w:rFonts w:ascii="Times New Roman" w:hAnsi="Times New Roman"/>
                <w:bCs/>
                <w:iCs/>
                <w:color w:val="000000"/>
                <w:szCs w:val="21"/>
              </w:rPr>
              <w:t>投资者关系活动类别</w:t>
            </w:r>
          </w:p>
        </w:tc>
        <w:tc>
          <w:tcPr>
            <w:tcW w:w="68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ascii="Times New Roman" w:hAnsi="Times New Roman"/>
                <w:bCs/>
                <w:iCs/>
                <w:color w:val="000000"/>
                <w:szCs w:val="21"/>
              </w:rPr>
            </w:pPr>
            <w:r>
              <w:rPr>
                <w:rFonts w:ascii="Times New Roman" w:hAnsi="Times New Roman"/>
                <w:bCs/>
                <w:iCs/>
                <w:color w:val="000000"/>
                <w:szCs w:val="21"/>
              </w:rPr>
              <w:sym w:font="Wingdings 2" w:char="00A3"/>
            </w:r>
            <w:r>
              <w:rPr>
                <w:rFonts w:ascii="Times New Roman" w:hAnsi="Times New Roman"/>
                <w:szCs w:val="21"/>
              </w:rPr>
              <w:t>特定对象调研</w:t>
            </w:r>
            <w:r>
              <w:rPr>
                <w:rFonts w:hint="eastAsia" w:ascii="Times New Roman" w:hAnsi="Times New Roman"/>
                <w:szCs w:val="21"/>
              </w:rPr>
              <w:t xml:space="preserve">   </w:t>
            </w:r>
            <w:r>
              <w:rPr>
                <w:rFonts w:ascii="Times New Roman" w:hAnsi="Times New Roman"/>
                <w:bCs/>
                <w:iCs/>
                <w:color w:val="000000"/>
                <w:szCs w:val="21"/>
              </w:rPr>
              <w:sym w:font="Wingdings 2" w:char="00A3"/>
            </w:r>
            <w:r>
              <w:rPr>
                <w:rFonts w:ascii="Times New Roman" w:hAnsi="Times New Roman"/>
                <w:szCs w:val="21"/>
              </w:rPr>
              <w:t>分析师会议</w:t>
            </w:r>
          </w:p>
          <w:p>
            <w:pPr>
              <w:spacing w:line="360" w:lineRule="auto"/>
              <w:ind w:left="210" w:leftChars="100"/>
              <w:rPr>
                <w:rFonts w:ascii="Times New Roman" w:hAnsi="Times New Roman"/>
                <w:bCs/>
                <w:iCs/>
                <w:color w:val="000000"/>
                <w:szCs w:val="21"/>
              </w:rPr>
            </w:pPr>
            <w:r>
              <w:rPr>
                <w:rFonts w:ascii="Times New Roman" w:hAnsi="Times New Roman"/>
                <w:bCs/>
                <w:iCs/>
                <w:color w:val="000000"/>
                <w:szCs w:val="21"/>
              </w:rPr>
              <w:sym w:font="Wingdings 2" w:char="00A3"/>
            </w:r>
            <w:r>
              <w:rPr>
                <w:rFonts w:ascii="Times New Roman" w:hAnsi="Times New Roman"/>
                <w:szCs w:val="21"/>
              </w:rPr>
              <w:t>媒体采访</w:t>
            </w:r>
            <w:r>
              <w:rPr>
                <w:rFonts w:hint="eastAsia" w:ascii="Times New Roman" w:hAnsi="Times New Roman"/>
                <w:szCs w:val="21"/>
              </w:rPr>
              <w:t xml:space="preserve">       </w:t>
            </w:r>
            <w:r>
              <w:rPr>
                <w:rFonts w:ascii="Times New Roman" w:hAnsi="Times New Roman"/>
                <w:bCs/>
                <w:iCs/>
                <w:color w:val="000000"/>
                <w:szCs w:val="21"/>
              </w:rPr>
              <w:sym w:font="Wingdings 2" w:char="0052"/>
            </w:r>
            <w:r>
              <w:rPr>
                <w:rFonts w:ascii="Times New Roman" w:hAnsi="Times New Roman"/>
                <w:szCs w:val="21"/>
              </w:rPr>
              <w:t>业绩说明会</w:t>
            </w:r>
          </w:p>
          <w:p>
            <w:pPr>
              <w:spacing w:line="360" w:lineRule="auto"/>
              <w:ind w:left="210" w:leftChars="100"/>
              <w:rPr>
                <w:rFonts w:ascii="Times New Roman" w:hAnsi="Times New Roman"/>
                <w:bCs/>
                <w:iCs/>
                <w:color w:val="000000"/>
                <w:szCs w:val="21"/>
              </w:rPr>
            </w:pPr>
            <w:r>
              <w:rPr>
                <w:rFonts w:ascii="Times New Roman" w:hAnsi="Times New Roman"/>
                <w:bCs/>
                <w:iCs/>
                <w:color w:val="000000"/>
                <w:szCs w:val="21"/>
              </w:rPr>
              <w:sym w:font="Wingdings 2" w:char="00A3"/>
            </w:r>
            <w:r>
              <w:rPr>
                <w:rFonts w:ascii="Times New Roman" w:hAnsi="Times New Roman"/>
                <w:szCs w:val="21"/>
              </w:rPr>
              <w:t>新闻发布会</w:t>
            </w:r>
            <w:r>
              <w:rPr>
                <w:rFonts w:hint="eastAsia" w:ascii="Times New Roman" w:hAnsi="Times New Roman"/>
                <w:szCs w:val="21"/>
              </w:rPr>
              <w:t xml:space="preserve">     </w:t>
            </w:r>
            <w:r>
              <w:rPr>
                <w:rFonts w:ascii="Times New Roman" w:hAnsi="Times New Roman"/>
                <w:bCs/>
                <w:iCs/>
                <w:color w:val="000000"/>
                <w:szCs w:val="21"/>
              </w:rPr>
              <w:sym w:font="Wingdings 2" w:char="00A3"/>
            </w:r>
            <w:r>
              <w:rPr>
                <w:rFonts w:ascii="Times New Roman" w:hAnsi="Times New Roman"/>
                <w:szCs w:val="21"/>
              </w:rPr>
              <w:t>路演活动</w:t>
            </w:r>
          </w:p>
          <w:p>
            <w:pPr>
              <w:tabs>
                <w:tab w:val="left" w:pos="2445"/>
                <w:tab w:val="center" w:pos="3199"/>
              </w:tabs>
              <w:spacing w:line="360" w:lineRule="auto"/>
              <w:ind w:left="210" w:leftChars="100"/>
              <w:rPr>
                <w:rFonts w:ascii="Times New Roman" w:hAnsi="Times New Roman"/>
                <w:bCs/>
                <w:iCs/>
                <w:color w:val="000000"/>
                <w:szCs w:val="21"/>
              </w:rPr>
            </w:pPr>
            <w:r>
              <w:rPr>
                <w:rFonts w:ascii="Times New Roman" w:hAnsi="Times New Roman"/>
                <w:bCs/>
                <w:iCs/>
                <w:color w:val="000000"/>
                <w:szCs w:val="21"/>
              </w:rPr>
              <w:sym w:font="Wingdings 2" w:char="00A3"/>
            </w:r>
            <w:r>
              <w:rPr>
                <w:rFonts w:ascii="Times New Roman" w:hAnsi="Times New Roman"/>
                <w:szCs w:val="21"/>
              </w:rPr>
              <w:t>现场参观</w:t>
            </w:r>
            <w:r>
              <w:rPr>
                <w:rFonts w:hint="eastAsia" w:ascii="Times New Roman" w:hAnsi="Times New Roman"/>
                <w:szCs w:val="21"/>
              </w:rPr>
              <w:t xml:space="preserve">       </w:t>
            </w:r>
            <w:r>
              <w:rPr>
                <w:rFonts w:ascii="Times New Roman" w:hAnsi="Times New Roman"/>
                <w:bCs/>
                <w:iCs/>
                <w:color w:val="000000"/>
                <w:szCs w:val="21"/>
              </w:rPr>
              <w:sym w:font="Wingdings 2" w:char="00A3"/>
            </w: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ind w:left="210" w:leftChars="100"/>
              <w:rPr>
                <w:rFonts w:ascii="Times New Roman" w:hAnsi="Times New Roman"/>
                <w:szCs w:val="21"/>
              </w:rPr>
            </w:pPr>
            <w:r>
              <w:rPr>
                <w:rFonts w:ascii="Times New Roman" w:hAnsi="Times New Roman"/>
                <w:szCs w:val="21"/>
              </w:rPr>
              <w:t>参与单位名称及人员姓名</w:t>
            </w:r>
          </w:p>
        </w:tc>
        <w:tc>
          <w:tcPr>
            <w:tcW w:w="6809" w:type="dxa"/>
            <w:gridSpan w:val="2"/>
            <w:tcBorders>
              <w:top w:val="single" w:color="auto" w:sz="4" w:space="0"/>
              <w:left w:val="single" w:color="auto" w:sz="4" w:space="0"/>
              <w:bottom w:val="single" w:color="auto" w:sz="4" w:space="0"/>
              <w:right w:val="single" w:color="auto" w:sz="4" w:space="0"/>
            </w:tcBorders>
            <w:vAlign w:val="center"/>
          </w:tcPr>
          <w:tbl>
            <w:tblPr>
              <w:tblStyle w:val="8"/>
              <w:tblW w:w="6846" w:type="dxa"/>
              <w:tblInd w:w="-133" w:type="dxa"/>
              <w:tblLayout w:type="fixed"/>
              <w:tblCellMar>
                <w:top w:w="0" w:type="dxa"/>
                <w:left w:w="0" w:type="dxa"/>
                <w:bottom w:w="0" w:type="dxa"/>
                <w:right w:w="0" w:type="dxa"/>
              </w:tblCellMar>
            </w:tblPr>
            <w:tblGrid>
              <w:gridCol w:w="4462"/>
              <w:gridCol w:w="2384"/>
            </w:tblGrid>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中银国际证券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宁宁</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中信建投证券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汤其勇</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中泰证券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周铃雅</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中泰证券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易景明</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中金公司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闫慧辰</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招银国际</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万枭</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招银国际</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张任奇</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招商银行</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张恒</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招商银行</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周海涛</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招商基金</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张浩怡</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kern w:val="0"/>
                      <w:sz w:val="21"/>
                      <w:szCs w:val="21"/>
                      <w:lang w:bidi="ar"/>
                    </w:rPr>
                    <w:t>招商</w:t>
                  </w:r>
                  <w:r>
                    <w:rPr>
                      <w:rFonts w:hint="default" w:ascii="Times New Roman" w:hAnsi="Times New Roman" w:cs="Times New Roman"/>
                      <w:color w:val="000000"/>
                      <w:kern w:val="0"/>
                      <w:sz w:val="21"/>
                      <w:szCs w:val="21"/>
                      <w:lang w:eastAsia="zh-CN" w:bidi="ar"/>
                    </w:rPr>
                    <w:t>证券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吴楚妍</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源乘投资</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刘建忠</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亚太财产保险</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宋谦</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新时代证券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张勋</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新华资产</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耿金文</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新华资产</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朱战宇</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仙翎投资</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贾珞</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万联证券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曾超巩</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万海人寿</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王鑫</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同安基金</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陈凯越</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天风证券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王俊贤</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深圳榕树投资</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雍国铁</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深圳瀚岭资产</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游建国</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申万宏源证券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唐宗其</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群益国际</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李天凡</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民生信托</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刘月</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坤易投资</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林捷鸣</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凯读投资</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朱瑾</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招银国际</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黄志</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基岩资本</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彭智锋</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华益资本</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仁万力</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华夏久盈资产管理</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桑</w:t>
                  </w:r>
                  <w:r>
                    <w:rPr>
                      <w:rFonts w:hint="default" w:ascii="Times New Roman" w:hAnsi="Times New Roman" w:cs="Times New Roman"/>
                      <w:color w:val="000000"/>
                      <w:kern w:val="0"/>
                      <w:sz w:val="21"/>
                      <w:szCs w:val="21"/>
                      <w:lang w:bidi="ar"/>
                    </w:rPr>
                    <w:t>永亮</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华金证券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曾捷</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华金证券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王聪</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华创证券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张弛</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华创证券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陆伟伟</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华创证券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韩东</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红华资本</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贺武正</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恒越基金</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郭卓瑜</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海通证券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余伟民</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海通证券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康培</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海通证券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张雨欣</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海晟投资</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杨文斌</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海富通基金</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彭志远</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华泰证券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赵悦媛</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国泰君安证券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陈茂元</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广州国卓资产管理有限公司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冯志松</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方正证券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唐航</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方正富邦基金</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张超梁</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方圆基金</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董丰侨</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东兴证券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李娜</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东兴基金</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郭琪</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东方证券资产管理有限公司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张伟锋</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东北证券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孙树明</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帝王鱼（厦门）投资管理</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李诗卷</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德威资本</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柳新民</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博永投资</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吴成春</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无锋基金</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陈净</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上海真灼投资管理有限公司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殷凯</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上海红林私募基金</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严为民</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融捷集团</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王丰</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繁星资本</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刘钰</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黄山太平农村商业银行股份有限公司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陈健勤</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世纪证券有限责任公司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张阚</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北京友财投资管理有限公司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成洁</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上海德汇集团有限公司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于州</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维彤资本</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陈静丽</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国泰君安证券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蓝碧君</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大成基金管理有限公司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陈雄</w:t>
                  </w:r>
                </w:p>
              </w:tc>
            </w:tr>
            <w:tr>
              <w:tblPrEx>
                <w:tblLayout w:type="fixed"/>
                <w:tblCellMar>
                  <w:top w:w="0" w:type="dxa"/>
                  <w:left w:w="0" w:type="dxa"/>
                  <w:bottom w:w="0" w:type="dxa"/>
                  <w:right w:w="0" w:type="dxa"/>
                </w:tblCellMar>
              </w:tblPrEx>
              <w:trPr>
                <w:trHeight w:val="270" w:hRule="atLeast"/>
              </w:trPr>
              <w:tc>
                <w:tcPr>
                  <w:tcW w:w="44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长城证券股份有限公司</w:t>
                  </w:r>
                </w:p>
              </w:tc>
              <w:tc>
                <w:tcPr>
                  <w:tcW w:w="23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贾耀华</w:t>
                  </w:r>
                </w:p>
              </w:tc>
            </w:tr>
          </w:tbl>
          <w:p>
            <w:pPr>
              <w:spacing w:line="360" w:lineRule="auto"/>
              <w:ind w:left="210" w:leftChars="100"/>
              <w:rPr>
                <w:rFonts w:hint="eastAsia" w:ascii="Times New Roman" w:hAnsi="Times New Roman" w:eastAsia="宋体"/>
                <w:szCs w:val="21"/>
                <w:lang w:eastAsia="zh-CN"/>
              </w:rPr>
            </w:pPr>
            <w:r>
              <w:rPr>
                <w:rFonts w:hint="eastAsia" w:ascii="Times New Roman" w:hAnsi="Times New Roman"/>
                <w:szCs w:val="21"/>
                <w:lang w:eastAsia="zh-CN"/>
              </w:rPr>
              <w:t>（以上参会者名单为电话听录，如有错误还望见谅。）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iCs/>
                <w:color w:val="000000"/>
                <w:szCs w:val="21"/>
              </w:rPr>
            </w:pPr>
            <w:r>
              <w:rPr>
                <w:rFonts w:ascii="Times New Roman" w:hAnsi="Times New Roman"/>
                <w:bCs/>
                <w:iCs/>
                <w:color w:val="000000"/>
                <w:szCs w:val="21"/>
              </w:rPr>
              <w:t>时间及地点</w:t>
            </w:r>
          </w:p>
        </w:tc>
        <w:tc>
          <w:tcPr>
            <w:tcW w:w="6809" w:type="dxa"/>
            <w:gridSpan w:val="2"/>
            <w:tcBorders>
              <w:top w:val="single" w:color="auto" w:sz="4" w:space="0"/>
              <w:left w:val="single" w:color="auto" w:sz="4" w:space="0"/>
              <w:bottom w:val="single" w:color="auto" w:sz="4" w:space="0"/>
              <w:right w:val="single" w:color="auto" w:sz="4" w:space="0"/>
            </w:tcBorders>
            <w:vAlign w:val="center"/>
          </w:tcPr>
          <w:p>
            <w:pPr>
              <w:ind w:left="210" w:leftChars="100"/>
              <w:rPr>
                <w:rFonts w:ascii="Times New Roman" w:hAnsi="Times New Roman"/>
                <w:bCs/>
                <w:iCs/>
                <w:color w:val="000000"/>
                <w:szCs w:val="21"/>
              </w:rPr>
            </w:pPr>
            <w:r>
              <w:rPr>
                <w:rFonts w:ascii="Times New Roman" w:hAnsi="Times New Roman"/>
                <w:bCs/>
                <w:iCs/>
                <w:color w:val="000000"/>
                <w:szCs w:val="21"/>
              </w:rPr>
              <w:t>活动名称：</w:t>
            </w:r>
            <w:r>
              <w:rPr>
                <w:rFonts w:hint="eastAsia" w:ascii="Times New Roman" w:hAnsi="Times New Roman"/>
                <w:bCs/>
                <w:iCs/>
                <w:color w:val="000000"/>
                <w:szCs w:val="21"/>
              </w:rPr>
              <w:t>高新兴2019年</w:t>
            </w:r>
            <w:r>
              <w:rPr>
                <w:rFonts w:hint="eastAsia" w:ascii="Times New Roman" w:hAnsi="Times New Roman"/>
                <w:bCs/>
                <w:iCs/>
                <w:color w:val="000000"/>
                <w:szCs w:val="21"/>
                <w:lang w:eastAsia="zh-CN"/>
              </w:rPr>
              <w:t>半年报机构交流</w:t>
            </w:r>
            <w:r>
              <w:rPr>
                <w:rFonts w:hint="eastAsia" w:ascii="Times New Roman" w:hAnsi="Times New Roman"/>
                <w:bCs/>
                <w:iCs/>
                <w:color w:val="000000"/>
                <w:szCs w:val="21"/>
              </w:rPr>
              <w:t>电话</w:t>
            </w:r>
            <w:r>
              <w:rPr>
                <w:rFonts w:hint="eastAsia" w:ascii="Times New Roman" w:hAnsi="Times New Roman"/>
                <w:bCs/>
                <w:iCs/>
                <w:color w:val="000000"/>
                <w:szCs w:val="21"/>
                <w:lang w:eastAsia="zh-CN"/>
              </w:rPr>
              <w:t>会议</w:t>
            </w:r>
          </w:p>
          <w:p>
            <w:pPr>
              <w:ind w:left="210" w:leftChars="100"/>
              <w:rPr>
                <w:rFonts w:hint="default" w:ascii="Times New Roman" w:hAnsi="Times New Roman" w:eastAsia="宋体"/>
                <w:bCs/>
                <w:iCs/>
                <w:color w:val="000000"/>
                <w:szCs w:val="21"/>
                <w:lang w:val="en-US" w:eastAsia="zh-CN"/>
              </w:rPr>
            </w:pPr>
            <w:r>
              <w:rPr>
                <w:rFonts w:ascii="Times New Roman" w:hAnsi="Times New Roman"/>
                <w:bCs/>
                <w:iCs/>
                <w:color w:val="000000"/>
                <w:szCs w:val="21"/>
              </w:rPr>
              <w:t>时间：2019年</w:t>
            </w:r>
            <w:r>
              <w:rPr>
                <w:rFonts w:hint="eastAsia" w:ascii="Times New Roman" w:hAnsi="Times New Roman"/>
                <w:bCs/>
                <w:iCs/>
                <w:color w:val="000000"/>
                <w:szCs w:val="21"/>
              </w:rPr>
              <w:t>8</w:t>
            </w:r>
            <w:r>
              <w:rPr>
                <w:rFonts w:ascii="Times New Roman" w:hAnsi="Times New Roman"/>
                <w:bCs/>
                <w:iCs/>
                <w:color w:val="000000"/>
                <w:szCs w:val="21"/>
              </w:rPr>
              <w:t>月</w:t>
            </w:r>
            <w:r>
              <w:rPr>
                <w:rFonts w:hint="eastAsia" w:ascii="Times New Roman" w:hAnsi="Times New Roman"/>
                <w:bCs/>
                <w:iCs/>
                <w:color w:val="000000"/>
                <w:szCs w:val="21"/>
              </w:rPr>
              <w:t>30</w:t>
            </w:r>
            <w:r>
              <w:rPr>
                <w:rFonts w:ascii="Times New Roman" w:hAnsi="Times New Roman"/>
                <w:bCs/>
                <w:iCs/>
                <w:color w:val="000000"/>
                <w:szCs w:val="21"/>
              </w:rPr>
              <w:t>日</w:t>
            </w:r>
            <w:r>
              <w:rPr>
                <w:rFonts w:hint="eastAsia" w:ascii="Times New Roman" w:hAnsi="Times New Roman"/>
                <w:bCs/>
                <w:iCs/>
                <w:color w:val="000000"/>
                <w:szCs w:val="21"/>
                <w:lang w:val="en-US" w:eastAsia="zh-CN"/>
              </w:rPr>
              <w:t>15:00-16:00</w:t>
            </w:r>
          </w:p>
          <w:p>
            <w:pPr>
              <w:ind w:left="210" w:leftChars="100"/>
              <w:rPr>
                <w:rFonts w:ascii="Times New Roman" w:hAnsi="Times New Roman" w:cs="Times New Roman"/>
                <w:bCs/>
                <w:iCs/>
                <w:color w:val="000000"/>
                <w:szCs w:val="21"/>
              </w:rPr>
            </w:pPr>
            <w:r>
              <w:rPr>
                <w:rFonts w:ascii="Times New Roman" w:hAnsi="Times New Roman"/>
                <w:bCs/>
                <w:iCs/>
                <w:color w:val="000000"/>
                <w:szCs w:val="21"/>
              </w:rPr>
              <w:t>地点：</w:t>
            </w:r>
            <w:r>
              <w:rPr>
                <w:rFonts w:hint="eastAsia" w:ascii="Times New Roman" w:hAnsi="Times New Roman"/>
                <w:bCs/>
                <w:iCs/>
                <w:color w:val="000000"/>
                <w:szCs w:val="21"/>
              </w:rPr>
              <w:t>线上电话会议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iCs/>
                <w:color w:val="000000"/>
                <w:szCs w:val="21"/>
              </w:rPr>
            </w:pPr>
            <w:r>
              <w:rPr>
                <w:rFonts w:ascii="Times New Roman" w:hAnsi="Times New Roman"/>
                <w:bCs/>
                <w:iCs/>
                <w:color w:val="000000"/>
                <w:szCs w:val="21"/>
              </w:rPr>
              <w:t>上市公司接待人员姓名</w:t>
            </w:r>
          </w:p>
        </w:tc>
        <w:tc>
          <w:tcPr>
            <w:tcW w:w="6809" w:type="dxa"/>
            <w:gridSpan w:val="2"/>
            <w:tcBorders>
              <w:top w:val="single" w:color="auto" w:sz="4" w:space="0"/>
              <w:left w:val="single" w:color="auto" w:sz="4" w:space="0"/>
              <w:bottom w:val="single" w:color="auto" w:sz="4" w:space="0"/>
              <w:right w:val="single" w:color="auto" w:sz="4" w:space="0"/>
            </w:tcBorders>
            <w:vAlign w:val="center"/>
          </w:tcPr>
          <w:p>
            <w:pPr>
              <w:ind w:left="210" w:leftChars="100"/>
              <w:rPr>
                <w:rFonts w:ascii="Times New Roman" w:hAnsi="Times New Roman"/>
                <w:bCs/>
                <w:iCs/>
                <w:color w:val="000000"/>
                <w:szCs w:val="21"/>
              </w:rPr>
            </w:pPr>
            <w:r>
              <w:rPr>
                <w:rFonts w:hint="eastAsia" w:ascii="Times New Roman" w:hAnsi="Times New Roman"/>
                <w:bCs/>
                <w:iCs/>
                <w:color w:val="000000"/>
                <w:szCs w:val="21"/>
              </w:rPr>
              <w:t>高新兴科技集团：</w:t>
            </w:r>
          </w:p>
          <w:p>
            <w:pPr>
              <w:ind w:left="210" w:leftChars="100"/>
              <w:rPr>
                <w:rFonts w:ascii="Times New Roman" w:hAnsi="Times New Roman" w:cs="Times New Roman"/>
                <w:bCs/>
                <w:iCs/>
                <w:color w:val="000000"/>
                <w:szCs w:val="21"/>
              </w:rPr>
            </w:pPr>
            <w:r>
              <w:rPr>
                <w:rFonts w:hint="eastAsia" w:ascii="Times New Roman" w:hAnsi="Times New Roman"/>
                <w:bCs/>
                <w:iCs/>
                <w:color w:val="000000"/>
                <w:szCs w:val="21"/>
              </w:rPr>
              <w:t>执行副总裁、董秘</w:t>
            </w:r>
            <w:r>
              <w:rPr>
                <w:rFonts w:ascii="Times New Roman" w:hAnsi="Times New Roman"/>
                <w:bCs/>
                <w:iCs/>
                <w:color w:val="000000"/>
                <w:szCs w:val="21"/>
              </w:rPr>
              <w:t xml:space="preserve"> </w:t>
            </w:r>
            <w:r>
              <w:rPr>
                <w:rFonts w:hint="eastAsia" w:ascii="Times New Roman" w:hAnsi="Times New Roman"/>
                <w:bCs/>
                <w:iCs/>
                <w:color w:val="000000"/>
                <w:szCs w:val="21"/>
              </w:rPr>
              <w:t>陈婧；财务副总监</w:t>
            </w:r>
            <w:r>
              <w:rPr>
                <w:rFonts w:ascii="Times New Roman" w:hAnsi="Times New Roman"/>
                <w:bCs/>
                <w:iCs/>
                <w:color w:val="000000"/>
                <w:szCs w:val="21"/>
              </w:rPr>
              <w:t xml:space="preserve"> </w:t>
            </w:r>
            <w:r>
              <w:rPr>
                <w:rFonts w:hint="eastAsia" w:ascii="Times New Roman" w:hAnsi="Times New Roman"/>
                <w:bCs/>
                <w:iCs/>
                <w:color w:val="000000"/>
                <w:szCs w:val="21"/>
              </w:rPr>
              <w:t>王涛；证券事务代表 黄璨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6" w:hRule="atLeast"/>
        </w:trPr>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iCs/>
                <w:color w:val="000000"/>
                <w:szCs w:val="21"/>
              </w:rPr>
            </w:pPr>
            <w:r>
              <w:rPr>
                <w:rFonts w:ascii="Times New Roman" w:hAnsi="Times New Roman"/>
                <w:bCs/>
                <w:iCs/>
                <w:color w:val="000000"/>
                <w:szCs w:val="21"/>
              </w:rPr>
              <w:t>投资者关系活动主要内容</w:t>
            </w:r>
          </w:p>
        </w:tc>
        <w:tc>
          <w:tcPr>
            <w:tcW w:w="6809" w:type="dxa"/>
            <w:gridSpan w:val="2"/>
            <w:tcBorders>
              <w:top w:val="single" w:color="auto" w:sz="4" w:space="0"/>
              <w:left w:val="single" w:color="auto" w:sz="4" w:space="0"/>
              <w:bottom w:val="single" w:color="auto" w:sz="4" w:space="0"/>
              <w:right w:val="single" w:color="auto" w:sz="4" w:space="0"/>
            </w:tcBorders>
          </w:tcPr>
          <w:p>
            <w:pPr>
              <w:numPr>
                <w:ilvl w:val="0"/>
                <w:numId w:val="1"/>
              </w:numPr>
              <w:spacing w:line="240" w:lineRule="auto"/>
              <w:ind w:left="0" w:leftChars="0" w:firstLine="420" w:firstLineChars="0"/>
              <w:rPr>
                <w:rFonts w:ascii="Times New Roman" w:hAnsi="Times New Roman" w:eastAsiaTheme="minorEastAsia"/>
                <w:b/>
                <w:bCs/>
              </w:rPr>
            </w:pPr>
            <w:r>
              <w:rPr>
                <w:rFonts w:hint="eastAsia" w:ascii="Times New Roman" w:hAnsi="Times New Roman" w:eastAsiaTheme="minorEastAsia"/>
                <w:b/>
                <w:bCs/>
              </w:rPr>
              <w:t>业绩介绍</w:t>
            </w:r>
          </w:p>
          <w:p>
            <w:pPr>
              <w:ind w:left="210" w:leftChars="100" w:firstLine="420" w:firstLineChars="200"/>
              <w:rPr>
                <w:rFonts w:ascii="Times New Roman" w:hAnsi="Times New Roman"/>
                <w:bCs/>
                <w:iCs/>
                <w:color w:val="000000"/>
                <w:szCs w:val="21"/>
              </w:rPr>
            </w:pPr>
            <w:r>
              <w:rPr>
                <w:rFonts w:hint="eastAsia" w:ascii="Times New Roman" w:hAnsi="Times New Roman"/>
                <w:bCs/>
                <w:iCs/>
                <w:color w:val="000000"/>
                <w:szCs w:val="21"/>
              </w:rPr>
              <w:t>公司</w:t>
            </w:r>
            <w:r>
              <w:rPr>
                <w:rFonts w:ascii="Times New Roman" w:hAnsi="Times New Roman"/>
                <w:bCs/>
                <w:iCs/>
                <w:color w:val="000000"/>
                <w:szCs w:val="21"/>
              </w:rPr>
              <w:t>2019</w:t>
            </w:r>
            <w:r>
              <w:rPr>
                <w:rFonts w:hint="eastAsia" w:ascii="Times New Roman" w:hAnsi="Times New Roman"/>
                <w:bCs/>
                <w:iCs/>
                <w:color w:val="000000"/>
                <w:szCs w:val="21"/>
              </w:rPr>
              <w:t>年上半年实现营收</w:t>
            </w:r>
            <w:r>
              <w:rPr>
                <w:rFonts w:ascii="Times New Roman" w:hAnsi="Times New Roman"/>
                <w:bCs/>
                <w:iCs/>
                <w:color w:val="000000"/>
                <w:szCs w:val="21"/>
              </w:rPr>
              <w:t>16.14</w:t>
            </w:r>
            <w:r>
              <w:rPr>
                <w:rFonts w:hint="eastAsia" w:ascii="Times New Roman" w:hAnsi="Times New Roman"/>
                <w:bCs/>
                <w:iCs/>
                <w:color w:val="000000"/>
                <w:szCs w:val="21"/>
              </w:rPr>
              <w:t>亿元，同比增长</w:t>
            </w:r>
            <w:r>
              <w:rPr>
                <w:rFonts w:ascii="Times New Roman" w:hAnsi="Times New Roman"/>
                <w:bCs/>
                <w:iCs/>
                <w:color w:val="000000"/>
                <w:szCs w:val="21"/>
              </w:rPr>
              <w:t>15.23%</w:t>
            </w:r>
            <w:r>
              <w:rPr>
                <w:rFonts w:hint="eastAsia" w:ascii="Times New Roman" w:hAnsi="Times New Roman"/>
                <w:bCs/>
                <w:iCs/>
                <w:color w:val="000000"/>
                <w:szCs w:val="21"/>
              </w:rPr>
              <w:t>；实现归属上市公司股东净利润</w:t>
            </w:r>
            <w:r>
              <w:rPr>
                <w:rFonts w:ascii="Times New Roman" w:hAnsi="Times New Roman"/>
                <w:bCs/>
                <w:iCs/>
                <w:color w:val="000000"/>
                <w:szCs w:val="21"/>
              </w:rPr>
              <w:t>1.85</w:t>
            </w:r>
            <w:r>
              <w:rPr>
                <w:rFonts w:hint="eastAsia" w:ascii="Times New Roman" w:hAnsi="Times New Roman"/>
                <w:bCs/>
                <w:iCs/>
                <w:color w:val="000000"/>
                <w:szCs w:val="21"/>
              </w:rPr>
              <w:t>亿元，整体业务保持稳定，研发投入</w:t>
            </w:r>
            <w:r>
              <w:rPr>
                <w:rFonts w:ascii="Times New Roman" w:hAnsi="Times New Roman"/>
                <w:bCs/>
                <w:iCs/>
                <w:color w:val="000000"/>
                <w:szCs w:val="21"/>
              </w:rPr>
              <w:t>2.58</w:t>
            </w:r>
            <w:r>
              <w:rPr>
                <w:rFonts w:hint="eastAsia" w:ascii="Times New Roman" w:hAnsi="Times New Roman"/>
                <w:bCs/>
                <w:iCs/>
                <w:color w:val="000000"/>
                <w:szCs w:val="21"/>
              </w:rPr>
              <w:t>亿元，同比增长</w:t>
            </w:r>
            <w:r>
              <w:rPr>
                <w:rFonts w:ascii="Times New Roman" w:hAnsi="Times New Roman"/>
                <w:bCs/>
                <w:iCs/>
                <w:color w:val="000000"/>
                <w:szCs w:val="21"/>
              </w:rPr>
              <w:t>47.38%</w:t>
            </w:r>
            <w:r>
              <w:rPr>
                <w:rFonts w:hint="eastAsia" w:ascii="Times New Roman" w:hAnsi="Times New Roman"/>
                <w:bCs/>
                <w:iCs/>
                <w:color w:val="000000"/>
                <w:szCs w:val="21"/>
              </w:rPr>
              <w:t>，研发投入增长近五成。</w:t>
            </w:r>
          </w:p>
          <w:p>
            <w:pPr>
              <w:ind w:left="210" w:leftChars="100" w:firstLine="420" w:firstLineChars="200"/>
              <w:rPr>
                <w:rFonts w:ascii="Times New Roman" w:hAnsi="Times New Roman"/>
                <w:bCs/>
                <w:iCs/>
                <w:color w:val="000000"/>
                <w:szCs w:val="21"/>
              </w:rPr>
            </w:pPr>
            <w:r>
              <w:rPr>
                <w:rFonts w:ascii="Times New Roman" w:hAnsi="Times New Roman"/>
                <w:bCs/>
                <w:iCs/>
                <w:color w:val="000000"/>
                <w:szCs w:val="21"/>
              </w:rPr>
              <w:t>2019年上半年，高新兴持续聚焦车联网和公安执法规范化两大业务主航道，整体业务平稳发展，车联网业务逐步成为公司增长的主动力。从行业上来看，交通行业持续高速发展，实现营收5.63亿元，同比增长49.64%，公安行业也实现增长。从产品上看，物联网连接及终端应用营业收入达到8.75亿元，同比增长16.45%，公司转型物联网企业、产品型公司成效明显。其中主航道之一的车联网业务营收达到3.1亿元，同比增长56%，成为公司增长贡献最多的业务板块。</w:t>
            </w:r>
            <w:r>
              <w:rPr>
                <w:rFonts w:hint="eastAsia" w:ascii="Times New Roman" w:hAnsi="Times New Roman"/>
                <w:bCs/>
                <w:iCs/>
                <w:color w:val="000000"/>
                <w:szCs w:val="21"/>
              </w:rPr>
              <w:t>公司</w:t>
            </w:r>
            <w:r>
              <w:rPr>
                <w:rFonts w:ascii="Times New Roman" w:hAnsi="Times New Roman"/>
                <w:bCs/>
                <w:iCs/>
                <w:color w:val="000000"/>
                <w:szCs w:val="21"/>
              </w:rPr>
              <w:t>作为国内唯一业务打通车厂、智能交通、5G通信、电子车牌、人工智能的车联网企业，已进行基于5G的模组、车载终端、V2X平台等产品的统一规划及技术前瞻性布局，并实现多业务融合的车联网应用，目前车联网产品已实现“连接-终端-平台-应用”全线覆盖。</w:t>
            </w:r>
          </w:p>
          <w:p>
            <w:pPr>
              <w:ind w:left="210" w:leftChars="100" w:firstLine="420" w:firstLineChars="200"/>
              <w:rPr>
                <w:rFonts w:ascii="Times New Roman" w:hAnsi="Times New Roman"/>
                <w:bCs/>
                <w:iCs/>
                <w:color w:val="000000"/>
                <w:szCs w:val="21"/>
              </w:rPr>
            </w:pPr>
            <w:r>
              <w:rPr>
                <w:rFonts w:hint="eastAsia" w:ascii="Times New Roman" w:hAnsi="Times New Roman"/>
                <w:bCs/>
                <w:iCs/>
                <w:color w:val="000000"/>
                <w:szCs w:val="21"/>
              </w:rPr>
              <w:t>在</w:t>
            </w:r>
            <w:r>
              <w:rPr>
                <w:rFonts w:ascii="Times New Roman" w:hAnsi="Times New Roman"/>
                <w:bCs/>
                <w:iCs/>
                <w:color w:val="000000"/>
                <w:szCs w:val="21"/>
              </w:rPr>
              <w:t>公安执法规范化</w:t>
            </w:r>
            <w:r>
              <w:rPr>
                <w:rFonts w:hint="eastAsia" w:ascii="Times New Roman" w:hAnsi="Times New Roman"/>
                <w:bCs/>
                <w:iCs/>
                <w:color w:val="000000"/>
                <w:szCs w:val="21"/>
              </w:rPr>
              <w:t>业务领域</w:t>
            </w:r>
            <w:r>
              <w:rPr>
                <w:rFonts w:ascii="Times New Roman" w:hAnsi="Times New Roman"/>
                <w:bCs/>
                <w:iCs/>
                <w:color w:val="000000"/>
                <w:szCs w:val="21"/>
              </w:rPr>
              <w:t>，</w:t>
            </w:r>
            <w:r>
              <w:rPr>
                <w:rFonts w:hint="eastAsia" w:ascii="Times New Roman" w:hAnsi="Times New Roman"/>
                <w:bCs/>
                <w:iCs/>
                <w:color w:val="000000"/>
                <w:szCs w:val="21"/>
              </w:rPr>
              <w:t>公司</w:t>
            </w:r>
            <w:r>
              <w:rPr>
                <w:rFonts w:ascii="Times New Roman" w:hAnsi="Times New Roman"/>
                <w:bCs/>
                <w:iCs/>
                <w:color w:val="000000"/>
                <w:szCs w:val="21"/>
              </w:rPr>
              <w:t>持续深耕公安信息化智能化建设，发布了全国首个基于人工智能、大数据、“云+端”的55423智慧执法体系。该体系打通“智慧执法办案”和“智慧监督管理”两大命脉，实现对传统执法业务流程的集约化再造。上半年，高新兴成功拿下了多个区域性办案区执法规范化项目，移动执法软件平台市场占有率行业第一。</w:t>
            </w:r>
          </w:p>
          <w:p>
            <w:pPr>
              <w:ind w:left="210" w:leftChars="100" w:firstLine="420" w:firstLineChars="200"/>
              <w:rPr>
                <w:rFonts w:ascii="Times New Roman" w:hAnsi="Times New Roman"/>
                <w:bCs/>
                <w:iCs/>
                <w:color w:val="000000"/>
                <w:szCs w:val="21"/>
              </w:rPr>
            </w:pPr>
            <w:r>
              <w:rPr>
                <w:rFonts w:hint="eastAsia" w:ascii="Times New Roman" w:hAnsi="Times New Roman"/>
                <w:bCs/>
                <w:iCs/>
                <w:color w:val="000000"/>
                <w:szCs w:val="21"/>
              </w:rPr>
              <w:t>2019</w:t>
            </w:r>
            <w:r>
              <w:rPr>
                <w:rFonts w:ascii="Times New Roman" w:hAnsi="Times New Roman"/>
                <w:bCs/>
                <w:iCs/>
                <w:color w:val="000000"/>
                <w:szCs w:val="21"/>
              </w:rPr>
              <w:t>年</w:t>
            </w:r>
            <w:r>
              <w:rPr>
                <w:rFonts w:hint="eastAsia" w:ascii="Times New Roman" w:hAnsi="Times New Roman"/>
                <w:bCs/>
                <w:iCs/>
                <w:color w:val="000000"/>
                <w:szCs w:val="21"/>
              </w:rPr>
              <w:t>外部环境形势严峻，市场竞争加剧，</w:t>
            </w:r>
            <w:r>
              <w:rPr>
                <w:rFonts w:ascii="Times New Roman" w:hAnsi="Times New Roman"/>
                <w:bCs/>
                <w:iCs/>
                <w:color w:val="000000"/>
                <w:szCs w:val="21"/>
              </w:rPr>
              <w:t>公司处于战略转型期的关键时刻</w:t>
            </w:r>
            <w:r>
              <w:rPr>
                <w:rFonts w:hint="eastAsia" w:ascii="Times New Roman" w:hAnsi="Times New Roman"/>
                <w:bCs/>
                <w:iCs/>
                <w:color w:val="000000"/>
                <w:szCs w:val="21"/>
              </w:rPr>
              <w:t>，</w:t>
            </w:r>
            <w:r>
              <w:rPr>
                <w:rFonts w:ascii="Times New Roman" w:hAnsi="Times New Roman"/>
                <w:bCs/>
                <w:iCs/>
                <w:color w:val="000000"/>
                <w:szCs w:val="21"/>
              </w:rPr>
              <w:t>上半年公司</w:t>
            </w:r>
            <w:r>
              <w:rPr>
                <w:rFonts w:hint="eastAsia" w:ascii="Times New Roman" w:hAnsi="Times New Roman"/>
                <w:bCs/>
                <w:iCs/>
                <w:color w:val="000000"/>
                <w:szCs w:val="21"/>
              </w:rPr>
              <w:t>进行</w:t>
            </w:r>
            <w:r>
              <w:rPr>
                <w:rFonts w:ascii="Times New Roman" w:hAnsi="Times New Roman"/>
                <w:bCs/>
                <w:iCs/>
                <w:color w:val="000000"/>
                <w:szCs w:val="21"/>
              </w:rPr>
              <w:t>产业结构调整，</w:t>
            </w:r>
            <w:r>
              <w:rPr>
                <w:rFonts w:hint="eastAsia" w:ascii="Times New Roman" w:hAnsi="Times New Roman"/>
                <w:bCs/>
                <w:iCs/>
                <w:color w:val="000000"/>
                <w:szCs w:val="21"/>
              </w:rPr>
              <w:t>为大力</w:t>
            </w:r>
            <w:r>
              <w:rPr>
                <w:rFonts w:ascii="Times New Roman" w:hAnsi="Times New Roman"/>
                <w:bCs/>
                <w:iCs/>
                <w:color w:val="000000"/>
                <w:szCs w:val="21"/>
              </w:rPr>
              <w:t>提升公司整体竞争力在</w:t>
            </w:r>
            <w:r>
              <w:rPr>
                <w:rFonts w:hint="eastAsia" w:ascii="Times New Roman" w:hAnsi="Times New Roman"/>
                <w:bCs/>
                <w:iCs/>
                <w:color w:val="000000"/>
                <w:szCs w:val="21"/>
              </w:rPr>
              <w:t>公司</w:t>
            </w:r>
            <w:r>
              <w:rPr>
                <w:rFonts w:ascii="Times New Roman" w:hAnsi="Times New Roman"/>
                <w:bCs/>
                <w:iCs/>
                <w:color w:val="000000"/>
                <w:szCs w:val="21"/>
              </w:rPr>
              <w:t>新</w:t>
            </w:r>
            <w:r>
              <w:rPr>
                <w:rFonts w:hint="eastAsia" w:ascii="Times New Roman" w:hAnsi="Times New Roman"/>
                <w:bCs/>
                <w:iCs/>
                <w:color w:val="000000"/>
                <w:szCs w:val="21"/>
              </w:rPr>
              <w:t>技术、产品的</w:t>
            </w:r>
            <w:r>
              <w:rPr>
                <w:rFonts w:ascii="Times New Roman" w:hAnsi="Times New Roman"/>
                <w:bCs/>
                <w:iCs/>
                <w:color w:val="000000"/>
                <w:szCs w:val="21"/>
              </w:rPr>
              <w:t>研发及市场</w:t>
            </w:r>
            <w:r>
              <w:rPr>
                <w:rFonts w:hint="eastAsia" w:ascii="Times New Roman" w:hAnsi="Times New Roman"/>
                <w:bCs/>
                <w:iCs/>
                <w:color w:val="000000"/>
                <w:szCs w:val="21"/>
              </w:rPr>
              <w:t>的</w:t>
            </w:r>
            <w:r>
              <w:rPr>
                <w:rFonts w:ascii="Times New Roman" w:hAnsi="Times New Roman"/>
                <w:bCs/>
                <w:iCs/>
                <w:color w:val="000000"/>
                <w:szCs w:val="21"/>
              </w:rPr>
              <w:t>开拓</w:t>
            </w:r>
            <w:r>
              <w:rPr>
                <w:rFonts w:hint="eastAsia" w:ascii="Times New Roman" w:hAnsi="Times New Roman"/>
                <w:bCs/>
                <w:iCs/>
                <w:color w:val="000000"/>
                <w:szCs w:val="21"/>
              </w:rPr>
              <w:t>进行</w:t>
            </w:r>
            <w:r>
              <w:rPr>
                <w:rFonts w:ascii="Times New Roman" w:hAnsi="Times New Roman"/>
                <w:bCs/>
                <w:iCs/>
                <w:color w:val="000000"/>
                <w:szCs w:val="21"/>
              </w:rPr>
              <w:t>较多投入，期间费用增加较快</w:t>
            </w:r>
            <w:r>
              <w:rPr>
                <w:rFonts w:hint="eastAsia" w:ascii="Times New Roman" w:hAnsi="Times New Roman"/>
                <w:bCs/>
                <w:iCs/>
                <w:color w:val="000000"/>
                <w:szCs w:val="21"/>
              </w:rPr>
              <w:t>。</w:t>
            </w:r>
          </w:p>
          <w:p>
            <w:pPr>
              <w:numPr>
                <w:ilvl w:val="0"/>
                <w:numId w:val="1"/>
              </w:numPr>
              <w:spacing w:line="240" w:lineRule="auto"/>
              <w:ind w:left="0" w:leftChars="0" w:firstLine="420" w:firstLineChars="0"/>
              <w:rPr>
                <w:rFonts w:ascii="Times New Roman" w:hAnsi="Times New Roman"/>
                <w:b/>
                <w:iCs/>
                <w:color w:val="000000"/>
                <w:szCs w:val="21"/>
              </w:rPr>
            </w:pPr>
            <w:r>
              <w:rPr>
                <w:rFonts w:hint="eastAsia" w:ascii="Times New Roman" w:hAnsi="Times New Roman"/>
                <w:b/>
                <w:iCs/>
                <w:color w:val="000000"/>
                <w:szCs w:val="21"/>
              </w:rPr>
              <w:t>交流提问</w:t>
            </w:r>
          </w:p>
          <w:p>
            <w:pPr>
              <w:numPr>
                <w:ilvl w:val="0"/>
                <w:numId w:val="2"/>
              </w:numPr>
              <w:ind w:left="425" w:leftChars="0" w:hanging="425" w:firstLineChars="0"/>
              <w:rPr>
                <w:rFonts w:ascii="Times New Roman" w:hAnsi="Times New Roman"/>
                <w:b/>
                <w:iCs/>
                <w:color w:val="000000"/>
                <w:szCs w:val="21"/>
              </w:rPr>
            </w:pPr>
            <w:r>
              <w:rPr>
                <w:rFonts w:ascii="Times New Roman" w:hAnsi="Times New Roman"/>
                <w:b/>
                <w:iCs/>
                <w:color w:val="000000"/>
                <w:szCs w:val="21"/>
              </w:rPr>
              <w:t>公司对下半年业务的展望？</w:t>
            </w:r>
          </w:p>
          <w:p>
            <w:pPr>
              <w:ind w:left="210" w:leftChars="100" w:firstLine="420" w:firstLineChars="200"/>
              <w:rPr>
                <w:rFonts w:ascii="Times New Roman" w:hAnsi="Times New Roman"/>
                <w:bCs/>
                <w:iCs/>
                <w:color w:val="000000"/>
                <w:szCs w:val="21"/>
              </w:rPr>
            </w:pPr>
            <w:r>
              <w:rPr>
                <w:rFonts w:ascii="Times New Roman" w:hAnsi="Times New Roman"/>
                <w:bCs/>
                <w:iCs/>
                <w:color w:val="000000"/>
                <w:szCs w:val="21"/>
              </w:rPr>
              <w:t>车联网方面，上半年实现近60%的增长，增速高于去年同期；警务终端与信息化方面，上半年由于收入确认与订单落地方面的滞后，预计下半年情况好于上半年；集成业务方面，全年保持</w:t>
            </w:r>
            <w:r>
              <w:rPr>
                <w:rFonts w:hint="eastAsia" w:ascii="Times New Roman" w:hAnsi="Times New Roman"/>
                <w:bCs/>
                <w:iCs/>
                <w:color w:val="000000"/>
                <w:szCs w:val="21"/>
              </w:rPr>
              <w:t>一定量的</w:t>
            </w:r>
            <w:r>
              <w:rPr>
                <w:rFonts w:ascii="Times New Roman" w:hAnsi="Times New Roman"/>
                <w:bCs/>
                <w:iCs/>
                <w:color w:val="000000"/>
                <w:szCs w:val="21"/>
              </w:rPr>
              <w:t>增长</w:t>
            </w:r>
            <w:r>
              <w:rPr>
                <w:rFonts w:hint="eastAsia" w:ascii="Times New Roman" w:hAnsi="Times New Roman"/>
                <w:bCs/>
                <w:iCs/>
                <w:color w:val="000000"/>
                <w:szCs w:val="21"/>
              </w:rPr>
              <w:t>，但仍会下调占集团整体营收比重，促进公司向产品经营型转型</w:t>
            </w:r>
            <w:r>
              <w:rPr>
                <w:rFonts w:ascii="Times New Roman" w:hAnsi="Times New Roman"/>
                <w:bCs/>
                <w:iCs/>
                <w:color w:val="000000"/>
                <w:szCs w:val="21"/>
              </w:rPr>
              <w:t>。</w:t>
            </w:r>
          </w:p>
          <w:p>
            <w:pPr>
              <w:numPr>
                <w:ilvl w:val="0"/>
                <w:numId w:val="2"/>
              </w:numPr>
              <w:ind w:left="425" w:leftChars="0" w:hanging="425" w:firstLineChars="0"/>
              <w:rPr>
                <w:rFonts w:ascii="Times New Roman" w:hAnsi="Times New Roman"/>
                <w:b/>
                <w:iCs/>
                <w:color w:val="000000"/>
                <w:szCs w:val="21"/>
              </w:rPr>
            </w:pPr>
            <w:r>
              <w:rPr>
                <w:rFonts w:hint="eastAsia" w:ascii="Times New Roman" w:hAnsi="Times New Roman"/>
                <w:b/>
                <w:iCs/>
                <w:color w:val="000000"/>
                <w:szCs w:val="21"/>
              </w:rPr>
              <w:t>公司车联网前装</w:t>
            </w:r>
            <w:r>
              <w:rPr>
                <w:rFonts w:hint="default" w:ascii="Times New Roman" w:hAnsi="Times New Roman"/>
                <w:b/>
                <w:iCs/>
                <w:color w:val="000000"/>
                <w:szCs w:val="21"/>
                <w:lang w:val="en-US" w:eastAsia="zh-CN"/>
              </w:rPr>
              <w:t>T</w:t>
            </w:r>
            <w:r>
              <w:rPr>
                <w:rFonts w:hint="eastAsia" w:ascii="Times New Roman" w:hAnsi="Times New Roman"/>
                <w:b/>
                <w:iCs/>
                <w:color w:val="000000"/>
                <w:szCs w:val="21"/>
              </w:rPr>
              <w:t>-box终端产品、后装OBD等产品、车规级模组营收情况以及下半年对通用型模组的规划？车联网业务的客户拓展情况？</w:t>
            </w:r>
          </w:p>
          <w:p>
            <w:pPr>
              <w:ind w:left="210" w:leftChars="100" w:firstLine="420" w:firstLineChars="200"/>
              <w:rPr>
                <w:rFonts w:ascii="Times New Roman" w:hAnsi="Times New Roman"/>
                <w:bCs/>
                <w:iCs/>
                <w:color w:val="000000"/>
                <w:szCs w:val="21"/>
              </w:rPr>
            </w:pPr>
            <w:r>
              <w:rPr>
                <w:rFonts w:hint="default" w:ascii="Times New Roman" w:hAnsi="Times New Roman"/>
                <w:bCs/>
              </w:rPr>
              <w:t>公司后装OBD车载终端产品对车联网业务营收贡献</w:t>
            </w:r>
            <w:r>
              <w:rPr>
                <w:rFonts w:hint="default" w:ascii="Times New Roman" w:hAnsi="Times New Roman"/>
                <w:bCs/>
                <w:lang w:eastAsia="zh-CN"/>
              </w:rPr>
              <w:t>约</w:t>
            </w:r>
            <w:r>
              <w:rPr>
                <w:rFonts w:hint="default" w:ascii="Times New Roman" w:hAnsi="Times New Roman"/>
                <w:bCs/>
              </w:rPr>
              <w:t>70%；前装产品占</w:t>
            </w:r>
            <w:r>
              <w:rPr>
                <w:rFonts w:hint="eastAsia" w:ascii="Times New Roman" w:hAnsi="Times New Roman"/>
                <w:bCs/>
                <w:iCs/>
                <w:color w:val="000000"/>
                <w:szCs w:val="21"/>
              </w:rPr>
              <w:t>比</w:t>
            </w:r>
            <w:r>
              <w:rPr>
                <w:rFonts w:hint="eastAsia" w:ascii="Times New Roman" w:hAnsi="Times New Roman"/>
                <w:bCs/>
                <w:iCs/>
                <w:color w:val="000000"/>
                <w:szCs w:val="21"/>
                <w:lang w:eastAsia="zh-CN"/>
              </w:rPr>
              <w:t>约</w:t>
            </w:r>
            <w:r>
              <w:rPr>
                <w:rFonts w:hint="eastAsia" w:ascii="Times New Roman" w:hAnsi="Times New Roman"/>
                <w:bCs/>
                <w:iCs/>
                <w:color w:val="000000"/>
                <w:szCs w:val="21"/>
              </w:rPr>
              <w:t>30%，其中T-BOX产品占比</w:t>
            </w:r>
            <w:r>
              <w:rPr>
                <w:rFonts w:hint="eastAsia" w:ascii="Times New Roman" w:hAnsi="Times New Roman"/>
                <w:bCs/>
                <w:iCs/>
                <w:color w:val="000000"/>
                <w:szCs w:val="21"/>
                <w:lang w:eastAsia="zh-CN"/>
              </w:rPr>
              <w:t>约</w:t>
            </w:r>
            <w:r>
              <w:rPr>
                <w:rFonts w:hint="eastAsia" w:ascii="Times New Roman" w:hAnsi="Times New Roman"/>
                <w:bCs/>
                <w:iCs/>
                <w:color w:val="000000"/>
                <w:szCs w:val="21"/>
              </w:rPr>
              <w:t>60%，车规级模组占比</w:t>
            </w:r>
            <w:r>
              <w:rPr>
                <w:rFonts w:hint="eastAsia" w:ascii="Times New Roman" w:hAnsi="Times New Roman"/>
                <w:bCs/>
                <w:iCs/>
                <w:color w:val="000000"/>
                <w:szCs w:val="21"/>
                <w:lang w:eastAsia="zh-CN"/>
              </w:rPr>
              <w:t>约</w:t>
            </w:r>
            <w:r>
              <w:rPr>
                <w:rFonts w:hint="eastAsia" w:ascii="Times New Roman" w:hAnsi="Times New Roman"/>
                <w:bCs/>
                <w:iCs/>
                <w:color w:val="000000"/>
                <w:szCs w:val="21"/>
              </w:rPr>
              <w:t>40%。</w:t>
            </w:r>
          </w:p>
          <w:p>
            <w:pPr>
              <w:ind w:left="210" w:leftChars="100" w:firstLine="420" w:firstLineChars="200"/>
              <w:rPr>
                <w:rFonts w:ascii="Times New Roman" w:hAnsi="Times New Roman"/>
                <w:bCs/>
                <w:iCs/>
                <w:color w:val="000000"/>
                <w:szCs w:val="21"/>
              </w:rPr>
            </w:pPr>
            <w:r>
              <w:rPr>
                <w:rFonts w:hint="eastAsia" w:ascii="Times New Roman" w:hAnsi="Times New Roman"/>
                <w:bCs/>
                <w:iCs/>
                <w:color w:val="000000"/>
                <w:szCs w:val="21"/>
              </w:rPr>
              <w:t>目前通用型模组市场竞争激烈，毛利率不断下降，公司更多地将资源投入高速和专项模组，将竞争优势聚焦在车联网终端以及车路协同终端上。公司现与吉利、比亚迪、长安、延锋伟世通、广汽都有较好的合作。</w:t>
            </w:r>
          </w:p>
          <w:p>
            <w:pPr>
              <w:numPr>
                <w:ilvl w:val="0"/>
                <w:numId w:val="2"/>
              </w:numPr>
              <w:ind w:left="425" w:leftChars="0" w:hanging="425" w:firstLineChars="0"/>
              <w:rPr>
                <w:rFonts w:ascii="Times New Roman" w:hAnsi="Times New Roman"/>
                <w:b/>
                <w:iCs/>
                <w:color w:val="000000"/>
                <w:szCs w:val="21"/>
              </w:rPr>
            </w:pPr>
            <w:r>
              <w:rPr>
                <w:rFonts w:hint="eastAsia" w:ascii="Times New Roman" w:hAnsi="Times New Roman"/>
                <w:b/>
                <w:iCs/>
                <w:color w:val="000000"/>
                <w:szCs w:val="21"/>
              </w:rPr>
              <w:t>车联网战略的推进情况。</w:t>
            </w:r>
          </w:p>
          <w:p>
            <w:pPr>
              <w:ind w:left="210" w:leftChars="100" w:firstLine="420" w:firstLineChars="200"/>
              <w:rPr>
                <w:rFonts w:ascii="Times New Roman" w:hAnsi="Times New Roman"/>
                <w:bCs/>
                <w:iCs/>
                <w:color w:val="000000"/>
                <w:szCs w:val="21"/>
              </w:rPr>
            </w:pPr>
            <w:r>
              <w:rPr>
                <w:rFonts w:hint="eastAsia" w:ascii="Times New Roman" w:hAnsi="Times New Roman"/>
                <w:bCs/>
                <w:iCs/>
                <w:color w:val="000000"/>
                <w:szCs w:val="21"/>
              </w:rPr>
              <w:t>公司预计9月份会推出LTE-V的RSU、OBU的商用产品，并于10月份参加信通院的四跨测试，由公司提供模组和终端产品，并计划在广州部署测试场，共有6个测试场景，包括限速、闯红灯、交叉路口防碰撞、前向防碰撞、异常车辆提示、道路危险提示等。</w:t>
            </w:r>
          </w:p>
          <w:p>
            <w:pPr>
              <w:numPr>
                <w:ilvl w:val="0"/>
                <w:numId w:val="2"/>
              </w:numPr>
              <w:ind w:left="425" w:leftChars="0" w:hanging="425" w:firstLineChars="0"/>
              <w:rPr>
                <w:rFonts w:ascii="Times New Roman" w:hAnsi="Times New Roman"/>
                <w:b/>
                <w:iCs/>
                <w:color w:val="000000"/>
                <w:szCs w:val="21"/>
              </w:rPr>
            </w:pPr>
            <w:r>
              <w:rPr>
                <w:rFonts w:hint="eastAsia" w:ascii="Times New Roman" w:hAnsi="Times New Roman"/>
                <w:b/>
                <w:iCs/>
                <w:color w:val="000000"/>
                <w:szCs w:val="21"/>
              </w:rPr>
              <w:t>电子车牌业务的进展情况？是否会受到</w:t>
            </w:r>
            <w:r>
              <w:rPr>
                <w:rFonts w:ascii="Times New Roman" w:hAnsi="Times New Roman"/>
                <w:b/>
                <w:iCs/>
                <w:color w:val="000000"/>
                <w:szCs w:val="21"/>
              </w:rPr>
              <w:t>ETC</w:t>
            </w:r>
            <w:r>
              <w:rPr>
                <w:rFonts w:hint="eastAsia" w:ascii="Times New Roman" w:hAnsi="Times New Roman"/>
                <w:b/>
                <w:iCs/>
                <w:color w:val="000000"/>
                <w:szCs w:val="21"/>
              </w:rPr>
              <w:t>业务的影响？</w:t>
            </w:r>
          </w:p>
          <w:p>
            <w:pPr>
              <w:ind w:left="210" w:leftChars="100" w:firstLine="420" w:firstLineChars="200"/>
              <w:rPr>
                <w:rFonts w:ascii="Times New Roman" w:hAnsi="Times New Roman"/>
                <w:bCs/>
                <w:iCs/>
                <w:color w:val="000000"/>
                <w:szCs w:val="21"/>
              </w:rPr>
            </w:pPr>
            <w:r>
              <w:rPr>
                <w:rFonts w:hint="eastAsia" w:ascii="Times New Roman" w:hAnsi="Times New Roman"/>
                <w:bCs/>
                <w:iCs/>
                <w:color w:val="000000"/>
                <w:szCs w:val="21"/>
              </w:rPr>
              <w:t>公司上半年电子车牌业务较去年有可观的增幅，主要原因是重庆和武汉的电子车牌项目正在进一步加装电子车牌天线及其他设备，促进了营收的增长。关于电子车牌与</w:t>
            </w:r>
            <w:r>
              <w:rPr>
                <w:rFonts w:ascii="Times New Roman" w:hAnsi="Times New Roman"/>
                <w:bCs/>
                <w:iCs/>
                <w:color w:val="000000"/>
                <w:szCs w:val="21"/>
              </w:rPr>
              <w:t>ETC</w:t>
            </w:r>
            <w:r>
              <w:rPr>
                <w:rFonts w:hint="eastAsia" w:ascii="Times New Roman" w:hAnsi="Times New Roman"/>
                <w:bCs/>
                <w:iCs/>
                <w:color w:val="000000"/>
                <w:szCs w:val="21"/>
              </w:rPr>
              <w:t>的关系，公司认为未来二者是相互并行、相互补充的关系。</w:t>
            </w:r>
            <w:r>
              <w:rPr>
                <w:rFonts w:ascii="Times New Roman" w:hAnsi="Times New Roman"/>
                <w:bCs/>
                <w:iCs/>
                <w:color w:val="000000"/>
                <w:szCs w:val="21"/>
              </w:rPr>
              <w:t>ETC</w:t>
            </w:r>
            <w:r>
              <w:rPr>
                <w:rFonts w:hint="eastAsia" w:ascii="Times New Roman" w:hAnsi="Times New Roman"/>
                <w:bCs/>
                <w:iCs/>
                <w:color w:val="000000"/>
                <w:szCs w:val="21"/>
              </w:rPr>
              <w:t>主要解决高速公路的支付场景，而电子车牌却能解决车辆身份精准识别问题。公司今年在电子车牌业务上增长较好，且在今年</w:t>
            </w:r>
            <w:r>
              <w:rPr>
                <w:rFonts w:ascii="Times New Roman" w:hAnsi="Times New Roman"/>
                <w:bCs/>
                <w:iCs/>
                <w:color w:val="000000"/>
                <w:szCs w:val="21"/>
              </w:rPr>
              <w:t>ETC</w:t>
            </w:r>
            <w:r>
              <w:rPr>
                <w:rFonts w:hint="eastAsia" w:ascii="Times New Roman" w:hAnsi="Times New Roman"/>
                <w:bCs/>
                <w:iCs/>
                <w:color w:val="000000"/>
                <w:szCs w:val="21"/>
              </w:rPr>
              <w:t>业务爆发后，从电子车牌的国家政策推进的角度来看，力度比会之前更强劲，公司目前看好明年电子车牌的发展趋势。</w:t>
            </w:r>
          </w:p>
          <w:p>
            <w:pPr>
              <w:numPr>
                <w:ilvl w:val="0"/>
                <w:numId w:val="2"/>
              </w:numPr>
              <w:ind w:left="425" w:leftChars="0" w:hanging="425" w:firstLineChars="0"/>
              <w:rPr>
                <w:rFonts w:ascii="Times New Roman" w:hAnsi="Times New Roman"/>
                <w:b/>
                <w:iCs/>
                <w:color w:val="000000"/>
                <w:szCs w:val="21"/>
              </w:rPr>
            </w:pPr>
            <w:r>
              <w:rPr>
                <w:rFonts w:hint="eastAsia" w:ascii="Times New Roman" w:hAnsi="Times New Roman"/>
                <w:b/>
                <w:iCs/>
                <w:color w:val="000000"/>
                <w:szCs w:val="21"/>
              </w:rPr>
              <w:t>公司海外业务的情况？</w:t>
            </w:r>
          </w:p>
          <w:p>
            <w:pPr>
              <w:ind w:left="210" w:leftChars="100" w:firstLine="420" w:firstLineChars="200"/>
              <w:rPr>
                <w:rFonts w:ascii="Times New Roman" w:hAnsi="Times New Roman"/>
                <w:bCs/>
                <w:iCs/>
                <w:color w:val="000000"/>
                <w:szCs w:val="21"/>
                <w:highlight w:val="yellow"/>
              </w:rPr>
            </w:pPr>
            <w:r>
              <w:rPr>
                <w:rFonts w:hint="eastAsia" w:ascii="Times New Roman" w:hAnsi="Times New Roman"/>
                <w:bCs/>
                <w:iCs/>
                <w:color w:val="000000"/>
                <w:szCs w:val="21"/>
              </w:rPr>
              <w:t>公司的海外业务主要为车联网</w:t>
            </w:r>
            <w:r>
              <w:rPr>
                <w:rFonts w:ascii="Times New Roman" w:hAnsi="Times New Roman"/>
                <w:bCs/>
                <w:iCs/>
                <w:color w:val="000000"/>
                <w:szCs w:val="21"/>
              </w:rPr>
              <w:t>OBD</w:t>
            </w:r>
            <w:r>
              <w:rPr>
                <w:rFonts w:hint="eastAsia" w:ascii="Times New Roman" w:hAnsi="Times New Roman"/>
                <w:bCs/>
                <w:iCs/>
                <w:color w:val="000000"/>
                <w:szCs w:val="21"/>
              </w:rPr>
              <w:t>车载终端类产品业务，</w:t>
            </w:r>
            <w:r>
              <w:rPr>
                <w:rFonts w:hint="default" w:ascii="Times New Roman" w:hAnsi="Times New Roman" w:cs="Times New Roman"/>
                <w:color w:val="000000"/>
                <w:szCs w:val="21"/>
              </w:rPr>
              <w:t>今年</w:t>
            </w:r>
            <w:r>
              <w:rPr>
                <w:rFonts w:ascii="Times New Roman" w:hAnsi="Times New Roman" w:cs="Times New Roman"/>
                <w:color w:val="000000"/>
                <w:szCs w:val="21"/>
              </w:rPr>
              <w:t>美元汇率</w:t>
            </w:r>
            <w:r>
              <w:rPr>
                <w:rFonts w:hint="default" w:ascii="Times New Roman" w:hAnsi="Times New Roman" w:cs="Times New Roman"/>
                <w:color w:val="000000"/>
                <w:szCs w:val="21"/>
              </w:rPr>
              <w:t>影响造成</w:t>
            </w:r>
            <w:r>
              <w:rPr>
                <w:rFonts w:ascii="Times New Roman" w:hAnsi="Times New Roman" w:cs="Times New Roman"/>
                <w:color w:val="000000"/>
                <w:szCs w:val="21"/>
              </w:rPr>
              <w:t>产品毛利有一定程度下降</w:t>
            </w:r>
            <w:r>
              <w:rPr>
                <w:rFonts w:hint="default" w:ascii="Times New Roman" w:hAnsi="Times New Roman" w:cs="Times New Roman"/>
                <w:color w:val="000000"/>
                <w:szCs w:val="21"/>
              </w:rPr>
              <w:t>，公司仍是海外运营商在中国的最大供应商，台湾的一些公司目前也在逐渐进入美国公司的备选名单，公司正</w:t>
            </w:r>
            <w:r>
              <w:rPr>
                <w:rFonts w:ascii="Times New Roman" w:hAnsi="Times New Roman" w:cs="Times New Roman"/>
                <w:color w:val="000000"/>
                <w:szCs w:val="21"/>
              </w:rPr>
              <w:t>通过客户承担部分</w:t>
            </w:r>
            <w:r>
              <w:rPr>
                <w:rFonts w:hint="default" w:ascii="Times New Roman" w:hAnsi="Times New Roman" w:cs="Times New Roman"/>
                <w:color w:val="000000"/>
                <w:szCs w:val="21"/>
              </w:rPr>
              <w:t>成本</w:t>
            </w:r>
            <w:r>
              <w:rPr>
                <w:rFonts w:ascii="Times New Roman" w:hAnsi="Times New Roman" w:cs="Times New Roman"/>
                <w:color w:val="000000"/>
                <w:szCs w:val="21"/>
              </w:rPr>
              <w:t>、原产地切换</w:t>
            </w:r>
            <w:r>
              <w:rPr>
                <w:rFonts w:hint="default" w:ascii="Times New Roman" w:hAnsi="Times New Roman" w:cs="Times New Roman"/>
                <w:color w:val="000000"/>
                <w:szCs w:val="21"/>
              </w:rPr>
              <w:t>、重组</w:t>
            </w:r>
            <w:r>
              <w:rPr>
                <w:rFonts w:hint="eastAsia" w:ascii="Times New Roman" w:hAnsi="Times New Roman"/>
                <w:bCs/>
                <w:iCs/>
                <w:color w:val="000000"/>
                <w:szCs w:val="21"/>
              </w:rPr>
              <w:t>全球供应链以改善海外销售收入下降</w:t>
            </w:r>
            <w:r>
              <w:rPr>
                <w:rFonts w:hint="eastAsia" w:ascii="Times New Roman" w:hAnsi="Times New Roman"/>
                <w:bCs/>
                <w:iCs/>
                <w:color w:val="000000"/>
                <w:szCs w:val="21"/>
                <w:lang w:eastAsia="zh-CN"/>
              </w:rPr>
              <w:t>情况</w:t>
            </w:r>
            <w:r>
              <w:rPr>
                <w:rFonts w:hint="eastAsia" w:ascii="Times New Roman" w:hAnsi="Times New Roman"/>
                <w:bCs/>
                <w:iCs/>
                <w:color w:val="000000"/>
                <w:szCs w:val="21"/>
              </w:rPr>
              <w:t>，降低国际贸易摩擦形势对公司业务的影响。</w:t>
            </w:r>
          </w:p>
          <w:p>
            <w:pPr>
              <w:numPr>
                <w:ilvl w:val="0"/>
                <w:numId w:val="2"/>
              </w:numPr>
              <w:ind w:left="425" w:leftChars="0" w:hanging="425" w:firstLineChars="0"/>
              <w:rPr>
                <w:rFonts w:ascii="Times New Roman" w:hAnsi="Times New Roman"/>
                <w:b/>
                <w:iCs/>
                <w:color w:val="000000"/>
                <w:szCs w:val="21"/>
              </w:rPr>
            </w:pPr>
            <w:r>
              <w:rPr>
                <w:rFonts w:hint="eastAsia" w:ascii="Times New Roman" w:hAnsi="Times New Roman"/>
                <w:b/>
                <w:iCs/>
                <w:color w:val="000000"/>
                <w:szCs w:val="21"/>
              </w:rPr>
              <w:t>创联子公司下半年及明年的市场情况会有改善吗？</w:t>
            </w:r>
          </w:p>
          <w:p>
            <w:pPr>
              <w:ind w:left="210" w:leftChars="100" w:firstLine="420" w:firstLineChars="200"/>
              <w:rPr>
                <w:rFonts w:ascii="Times New Roman" w:hAnsi="Times New Roman"/>
                <w:bCs/>
                <w:iCs/>
                <w:color w:val="000000"/>
                <w:szCs w:val="21"/>
              </w:rPr>
            </w:pPr>
            <w:r>
              <w:rPr>
                <w:rFonts w:hint="eastAsia" w:ascii="Times New Roman" w:hAnsi="Times New Roman"/>
                <w:bCs/>
                <w:iCs/>
                <w:color w:val="000000"/>
                <w:szCs w:val="21"/>
              </w:rPr>
              <w:t>创联上半年收入与去年同期基本持平，但低于公司的规划，主要是因为铁路总公司组织结构调整，很多订单都出现延迟，只要中国高铁需求保持增长，</w:t>
            </w:r>
            <w:r>
              <w:rPr>
                <w:rFonts w:hint="eastAsia" w:ascii="Times New Roman" w:hAnsi="Times New Roman"/>
                <w:bCs/>
                <w:iCs/>
                <w:color w:val="000000"/>
                <w:szCs w:val="21"/>
                <w:lang w:eastAsia="zh-CN"/>
              </w:rPr>
              <w:t>预计创联所处市场的业务需求仍会保持增长趋势</w:t>
            </w:r>
            <w:r>
              <w:rPr>
                <w:rFonts w:hint="eastAsia" w:ascii="Times New Roman" w:hAnsi="Times New Roman"/>
                <w:bCs/>
                <w:iCs/>
                <w:color w:val="000000"/>
                <w:szCs w:val="21"/>
              </w:rPr>
              <w:t>。</w:t>
            </w:r>
          </w:p>
          <w:p>
            <w:pPr>
              <w:numPr>
                <w:ilvl w:val="0"/>
                <w:numId w:val="2"/>
              </w:numPr>
              <w:ind w:left="425" w:leftChars="0" w:hanging="425" w:firstLineChars="0"/>
              <w:rPr>
                <w:rFonts w:ascii="Times New Roman" w:hAnsi="Times New Roman"/>
                <w:b/>
                <w:iCs/>
                <w:color w:val="000000"/>
                <w:szCs w:val="21"/>
              </w:rPr>
            </w:pPr>
            <w:r>
              <w:rPr>
                <w:rFonts w:hint="eastAsia" w:ascii="Times New Roman" w:hAnsi="Times New Roman"/>
                <w:b/>
                <w:iCs/>
                <w:color w:val="000000"/>
                <w:szCs w:val="21"/>
              </w:rPr>
              <w:t>公司各业务板块毛利率</w:t>
            </w:r>
            <w:r>
              <w:rPr>
                <w:rFonts w:hint="eastAsia" w:ascii="Times New Roman" w:hAnsi="Times New Roman"/>
                <w:b/>
                <w:iCs/>
                <w:color w:val="000000"/>
                <w:szCs w:val="21"/>
                <w:lang w:eastAsia="zh-CN"/>
              </w:rPr>
              <w:t>变化</w:t>
            </w:r>
            <w:r>
              <w:rPr>
                <w:rFonts w:hint="eastAsia" w:ascii="Times New Roman" w:hAnsi="Times New Roman"/>
                <w:b/>
                <w:iCs/>
                <w:color w:val="000000"/>
                <w:szCs w:val="21"/>
              </w:rPr>
              <w:t>的原因以及下半年毛利率的变化趋势？</w:t>
            </w:r>
          </w:p>
          <w:p>
            <w:pPr>
              <w:ind w:left="210" w:leftChars="100" w:firstLine="420" w:firstLineChars="200"/>
              <w:rPr>
                <w:rFonts w:ascii="Times New Roman" w:hAnsi="Times New Roman"/>
                <w:bCs/>
                <w:iCs/>
                <w:color w:val="000000"/>
                <w:szCs w:val="21"/>
              </w:rPr>
            </w:pPr>
            <w:r>
              <w:rPr>
                <w:rFonts w:hint="eastAsia" w:ascii="Times New Roman" w:hAnsi="Times New Roman"/>
                <w:bCs/>
                <w:iCs/>
                <w:color w:val="000000"/>
                <w:szCs w:val="21"/>
              </w:rPr>
              <w:t>车联网业务方面，主要是受市场竞争加剧</w:t>
            </w:r>
            <w:r>
              <w:rPr>
                <w:rFonts w:ascii="Times New Roman" w:hAnsi="Times New Roman"/>
                <w:bCs/>
                <w:iCs/>
                <w:color w:val="000000"/>
                <w:szCs w:val="21"/>
              </w:rPr>
              <w:t>和国际贸易形势的</w:t>
            </w:r>
            <w:r>
              <w:rPr>
                <w:rFonts w:hint="eastAsia" w:ascii="Times New Roman" w:hAnsi="Times New Roman"/>
                <w:bCs/>
                <w:iCs/>
                <w:color w:val="000000"/>
                <w:szCs w:val="21"/>
                <w:lang w:eastAsia="zh-CN"/>
              </w:rPr>
              <w:t>变</w:t>
            </w:r>
            <w:r>
              <w:rPr>
                <w:rFonts w:ascii="Times New Roman" w:hAnsi="Times New Roman"/>
                <w:bCs/>
                <w:iCs/>
                <w:color w:val="000000"/>
                <w:szCs w:val="21"/>
              </w:rPr>
              <w:t>化引起</w:t>
            </w:r>
            <w:r>
              <w:rPr>
                <w:rFonts w:hint="eastAsia" w:ascii="Times New Roman" w:hAnsi="Times New Roman"/>
                <w:bCs/>
                <w:iCs/>
                <w:color w:val="000000"/>
                <w:szCs w:val="21"/>
              </w:rPr>
              <w:t>的降价影响，成本方面无较大</w:t>
            </w:r>
            <w:r>
              <w:rPr>
                <w:rFonts w:hint="eastAsia" w:ascii="Times New Roman" w:hAnsi="Times New Roman"/>
                <w:bCs/>
                <w:iCs/>
                <w:color w:val="000000"/>
                <w:szCs w:val="21"/>
                <w:lang w:eastAsia="zh-CN"/>
              </w:rPr>
              <w:t>波动</w:t>
            </w:r>
            <w:r>
              <w:rPr>
                <w:rFonts w:hint="eastAsia" w:ascii="Times New Roman" w:hAnsi="Times New Roman"/>
                <w:bCs/>
                <w:iCs/>
                <w:color w:val="000000"/>
                <w:szCs w:val="21"/>
              </w:rPr>
              <w:t>，预计下半年毛利率保持稳定；软件系统及解决方案方面，毛利率下降的原因是商业模式的转化，从</w:t>
            </w:r>
            <w:r>
              <w:rPr>
                <w:rFonts w:ascii="Times New Roman" w:hAnsi="Times New Roman"/>
                <w:bCs/>
                <w:iCs/>
                <w:color w:val="000000"/>
                <w:szCs w:val="21"/>
              </w:rPr>
              <w:t>PPP</w:t>
            </w:r>
            <w:r>
              <w:rPr>
                <w:rFonts w:hint="eastAsia" w:ascii="Times New Roman" w:hAnsi="Times New Roman"/>
                <w:bCs/>
                <w:iCs/>
                <w:color w:val="000000"/>
                <w:szCs w:val="21"/>
              </w:rPr>
              <w:t>和</w:t>
            </w:r>
            <w:r>
              <w:rPr>
                <w:rFonts w:ascii="Times New Roman" w:hAnsi="Times New Roman"/>
                <w:bCs/>
                <w:iCs/>
                <w:color w:val="000000"/>
                <w:szCs w:val="21"/>
              </w:rPr>
              <w:t>BOT</w:t>
            </w:r>
            <w:r>
              <w:rPr>
                <w:rFonts w:hint="eastAsia" w:ascii="Times New Roman" w:hAnsi="Times New Roman"/>
                <w:bCs/>
                <w:iCs/>
                <w:color w:val="000000"/>
                <w:szCs w:val="21"/>
              </w:rPr>
              <w:t>模式转化为</w:t>
            </w:r>
            <w:r>
              <w:rPr>
                <w:rFonts w:ascii="Times New Roman" w:hAnsi="Times New Roman"/>
                <w:bCs/>
                <w:iCs/>
                <w:color w:val="000000"/>
                <w:szCs w:val="21"/>
              </w:rPr>
              <w:t>BT</w:t>
            </w:r>
            <w:r>
              <w:rPr>
                <w:rFonts w:hint="eastAsia" w:ascii="Times New Roman" w:hAnsi="Times New Roman"/>
                <w:bCs/>
                <w:iCs/>
                <w:color w:val="000000"/>
                <w:szCs w:val="21"/>
              </w:rPr>
              <w:t>模式，</w:t>
            </w:r>
            <w:r>
              <w:rPr>
                <w:rFonts w:hint="eastAsia" w:ascii="Times New Roman" w:hAnsi="Times New Roman"/>
                <w:bCs/>
                <w:iCs/>
                <w:color w:val="000000"/>
                <w:szCs w:val="21"/>
                <w:lang w:eastAsia="zh-CN"/>
              </w:rPr>
              <w:t>有利于改善集团现金流情况</w:t>
            </w:r>
            <w:r>
              <w:rPr>
                <w:rFonts w:hint="eastAsia" w:ascii="Times New Roman" w:hAnsi="Times New Roman"/>
                <w:bCs/>
                <w:iCs/>
                <w:color w:val="000000"/>
                <w:szCs w:val="21"/>
              </w:rPr>
              <w:t>；警务终端与信息化方面，毛利率的变化不完全是降价的原因，还受到产品结构的影响，去年产品主要是执法记录仪，今年产品较多是执法办案一体化产品，是软硬件“云</w:t>
            </w:r>
            <w:r>
              <w:rPr>
                <w:rFonts w:ascii="Times New Roman" w:hAnsi="Times New Roman"/>
                <w:bCs/>
                <w:iCs/>
                <w:color w:val="000000"/>
                <w:szCs w:val="21"/>
              </w:rPr>
              <w:t>+</w:t>
            </w:r>
            <w:r>
              <w:rPr>
                <w:rFonts w:hint="eastAsia" w:ascii="Times New Roman" w:hAnsi="Times New Roman"/>
                <w:bCs/>
                <w:iCs/>
                <w:color w:val="000000"/>
                <w:szCs w:val="21"/>
              </w:rPr>
              <w:t>端”的执法规范化解决方案。</w:t>
            </w:r>
          </w:p>
          <w:p>
            <w:pPr>
              <w:numPr>
                <w:ilvl w:val="0"/>
                <w:numId w:val="2"/>
              </w:numPr>
              <w:ind w:left="425" w:leftChars="0" w:hanging="425" w:firstLineChars="0"/>
              <w:rPr>
                <w:rFonts w:ascii="Times New Roman" w:hAnsi="Times New Roman"/>
                <w:b/>
                <w:iCs/>
                <w:color w:val="000000"/>
                <w:szCs w:val="21"/>
              </w:rPr>
            </w:pPr>
            <w:r>
              <w:rPr>
                <w:rFonts w:hint="eastAsia" w:ascii="Times New Roman" w:hAnsi="Times New Roman"/>
                <w:b/>
                <w:iCs/>
                <w:color w:val="000000"/>
                <w:szCs w:val="21"/>
              </w:rPr>
              <w:t>公司现金流不理想的原因以及未来如何进行现金流管理？</w:t>
            </w:r>
          </w:p>
          <w:p>
            <w:pPr>
              <w:ind w:left="210" w:leftChars="100" w:firstLine="420" w:firstLineChars="200"/>
              <w:rPr>
                <w:rFonts w:hint="eastAsia" w:ascii="Times New Roman" w:hAnsi="Times New Roman"/>
                <w:bCs/>
                <w:iCs/>
                <w:color w:val="000000"/>
                <w:szCs w:val="21"/>
              </w:rPr>
            </w:pPr>
            <w:r>
              <w:rPr>
                <w:rFonts w:hint="eastAsia" w:ascii="Times New Roman" w:hAnsi="Times New Roman"/>
                <w:bCs/>
                <w:iCs/>
                <w:color w:val="000000"/>
                <w:szCs w:val="21"/>
              </w:rPr>
              <w:t>原因一是</w:t>
            </w:r>
            <w:r>
              <w:rPr>
                <w:rFonts w:hint="eastAsia" w:ascii="Times New Roman" w:hAnsi="Times New Roman"/>
                <w:bCs/>
                <w:iCs/>
                <w:color w:val="000000"/>
                <w:szCs w:val="21"/>
                <w:lang w:eastAsia="zh-CN"/>
              </w:rPr>
              <w:t>今年上半年</w:t>
            </w:r>
            <w:r>
              <w:rPr>
                <w:rFonts w:hint="eastAsia" w:ascii="Times New Roman" w:hAnsi="Times New Roman"/>
                <w:bCs/>
                <w:iCs/>
                <w:color w:val="000000"/>
                <w:szCs w:val="21"/>
              </w:rPr>
              <w:t>集成项目占公司营收</w:t>
            </w:r>
            <w:r>
              <w:rPr>
                <w:rFonts w:hint="eastAsia" w:ascii="Times New Roman" w:hAnsi="Times New Roman"/>
                <w:bCs/>
                <w:iCs/>
                <w:color w:val="000000"/>
                <w:szCs w:val="21"/>
                <w:lang w:eastAsia="zh-CN"/>
              </w:rPr>
              <w:t>比重</w:t>
            </w:r>
            <w:r>
              <w:rPr>
                <w:rFonts w:hint="eastAsia" w:ascii="Times New Roman" w:hAnsi="Times New Roman"/>
                <w:bCs/>
                <w:iCs/>
                <w:color w:val="000000"/>
                <w:szCs w:val="21"/>
              </w:rPr>
              <w:t>还有4</w:t>
            </w:r>
            <w:r>
              <w:rPr>
                <w:rFonts w:ascii="Times New Roman" w:hAnsi="Times New Roman"/>
                <w:bCs/>
                <w:iCs/>
                <w:color w:val="000000"/>
                <w:szCs w:val="21"/>
              </w:rPr>
              <w:t>0</w:t>
            </w:r>
            <w:r>
              <w:rPr>
                <w:rFonts w:hint="eastAsia" w:ascii="Times New Roman" w:hAnsi="Times New Roman"/>
                <w:bCs/>
                <w:iCs/>
                <w:color w:val="000000"/>
                <w:szCs w:val="21"/>
              </w:rPr>
              <w:t>%</w:t>
            </w:r>
            <w:r>
              <w:rPr>
                <w:rFonts w:ascii="Times New Roman" w:hAnsi="Times New Roman"/>
                <w:bCs/>
                <w:iCs/>
                <w:color w:val="000000"/>
                <w:szCs w:val="21"/>
              </w:rPr>
              <w:t>左右</w:t>
            </w:r>
            <w:r>
              <w:rPr>
                <w:rFonts w:hint="eastAsia" w:ascii="Times New Roman" w:hAnsi="Times New Roman"/>
                <w:bCs/>
                <w:iCs/>
                <w:color w:val="000000"/>
                <w:szCs w:val="21"/>
              </w:rPr>
              <w:t>，</w:t>
            </w:r>
            <w:r>
              <w:rPr>
                <w:rFonts w:ascii="Times New Roman" w:hAnsi="Times New Roman"/>
                <w:bCs/>
                <w:iCs/>
                <w:color w:val="000000"/>
                <w:szCs w:val="21"/>
              </w:rPr>
              <w:t>以</w:t>
            </w:r>
            <w:bookmarkStart w:id="0" w:name="_GoBack"/>
            <w:bookmarkEnd w:id="0"/>
            <w:r>
              <w:rPr>
                <w:rFonts w:ascii="Times New Roman" w:hAnsi="Times New Roman"/>
                <w:bCs/>
                <w:iCs/>
                <w:color w:val="000000"/>
                <w:szCs w:val="21"/>
              </w:rPr>
              <w:t>前年度积累下来的集成项目款项正在逐步收回</w:t>
            </w:r>
            <w:r>
              <w:rPr>
                <w:rFonts w:hint="eastAsia" w:ascii="Times New Roman" w:hAnsi="Times New Roman"/>
                <w:bCs/>
                <w:iCs/>
                <w:color w:val="000000"/>
                <w:szCs w:val="21"/>
              </w:rPr>
              <w:t>，</w:t>
            </w:r>
            <w:r>
              <w:rPr>
                <w:rFonts w:ascii="Times New Roman" w:hAnsi="Times New Roman"/>
                <w:bCs/>
                <w:iCs/>
                <w:color w:val="000000"/>
                <w:szCs w:val="21"/>
              </w:rPr>
              <w:t>但需要一定时间</w:t>
            </w:r>
            <w:r>
              <w:rPr>
                <w:rFonts w:hint="eastAsia" w:ascii="Times New Roman" w:hAnsi="Times New Roman"/>
                <w:bCs/>
                <w:iCs/>
                <w:color w:val="000000"/>
                <w:szCs w:val="21"/>
              </w:rPr>
              <w:t>；二是由于加强</w:t>
            </w:r>
            <w:r>
              <w:rPr>
                <w:rFonts w:hint="eastAsia" w:ascii="Times New Roman" w:hAnsi="Times New Roman"/>
                <w:bCs/>
                <w:iCs/>
                <w:color w:val="000000"/>
                <w:szCs w:val="21"/>
                <w:lang w:eastAsia="zh-CN"/>
              </w:rPr>
              <w:t>公安产品</w:t>
            </w:r>
            <w:r>
              <w:rPr>
                <w:rFonts w:hint="eastAsia" w:ascii="Times New Roman" w:hAnsi="Times New Roman"/>
                <w:bCs/>
                <w:iCs/>
                <w:color w:val="000000"/>
                <w:szCs w:val="21"/>
              </w:rPr>
              <w:t>线</w:t>
            </w:r>
            <w:r>
              <w:rPr>
                <w:rFonts w:hint="eastAsia" w:ascii="Times New Roman" w:hAnsi="Times New Roman"/>
                <w:bCs/>
                <w:iCs/>
                <w:color w:val="000000"/>
                <w:szCs w:val="21"/>
                <w:lang w:eastAsia="zh-CN"/>
              </w:rPr>
              <w:t>的市场投入</w:t>
            </w:r>
            <w:r>
              <w:rPr>
                <w:rFonts w:hint="eastAsia" w:ascii="Times New Roman" w:hAnsi="Times New Roman"/>
                <w:bCs/>
                <w:iCs/>
                <w:color w:val="000000"/>
                <w:szCs w:val="21"/>
              </w:rPr>
              <w:t>引起相关销售人员及办事处费用增加、同时集团为增强管理职能，支撑业务发展，引入例如HCM\CRM\SRM\费控等多项管理系统及咨询机构导致今年的销售和管理费用比往年增多</w:t>
            </w:r>
            <w:r>
              <w:rPr>
                <w:rFonts w:hint="eastAsia" w:ascii="Times New Roman" w:hAnsi="Times New Roman"/>
                <w:bCs/>
                <w:iCs/>
                <w:color w:val="000000"/>
                <w:szCs w:val="21"/>
                <w:lang w:eastAsia="zh-CN"/>
              </w:rPr>
              <w:t>。</w:t>
            </w:r>
          </w:p>
          <w:p>
            <w:pPr>
              <w:ind w:left="210" w:leftChars="100" w:firstLine="420" w:firstLineChars="200"/>
              <w:rPr>
                <w:rFonts w:ascii="Times New Roman" w:hAnsi="Times New Roman"/>
                <w:bCs/>
                <w:iCs/>
                <w:color w:val="000000"/>
                <w:szCs w:val="21"/>
              </w:rPr>
            </w:pPr>
            <w:r>
              <w:rPr>
                <w:rFonts w:hint="eastAsia" w:ascii="Times New Roman" w:hAnsi="Times New Roman"/>
                <w:bCs/>
                <w:iCs/>
                <w:color w:val="000000"/>
                <w:szCs w:val="21"/>
              </w:rPr>
              <w:t>未来管理措施</w:t>
            </w:r>
            <w:r>
              <w:rPr>
                <w:rFonts w:ascii="Times New Roman" w:hAnsi="Times New Roman"/>
                <w:bCs/>
                <w:iCs/>
                <w:color w:val="000000"/>
                <w:szCs w:val="21"/>
              </w:rPr>
              <w:t>包括</w:t>
            </w:r>
            <w:r>
              <w:rPr>
                <w:rFonts w:hint="eastAsia" w:ascii="Times New Roman" w:hAnsi="Times New Roman"/>
                <w:bCs/>
                <w:iCs/>
                <w:color w:val="000000"/>
                <w:szCs w:val="21"/>
              </w:rPr>
              <w:t>：</w:t>
            </w:r>
          </w:p>
          <w:p>
            <w:pPr>
              <w:ind w:left="210" w:leftChars="100" w:firstLine="420" w:firstLineChars="200"/>
              <w:rPr>
                <w:rFonts w:hint="eastAsia" w:ascii="Times New Roman" w:hAnsi="Times New Roman" w:eastAsia="宋体"/>
                <w:bCs/>
                <w:iCs/>
                <w:color w:val="000000"/>
                <w:szCs w:val="21"/>
                <w:lang w:eastAsia="zh-CN"/>
              </w:rPr>
            </w:pPr>
            <w:r>
              <w:rPr>
                <w:rFonts w:hint="eastAsia" w:ascii="Times New Roman" w:hAnsi="Times New Roman"/>
                <w:bCs/>
                <w:iCs/>
                <w:color w:val="000000"/>
                <w:szCs w:val="21"/>
              </w:rPr>
              <w:t>1）收紧PPP、BOT项目，以后主要做BT项目并进行项目管理优化</w:t>
            </w:r>
            <w:r>
              <w:rPr>
                <w:rFonts w:hint="eastAsia" w:ascii="Times New Roman" w:hAnsi="Times New Roman"/>
                <w:bCs/>
                <w:iCs/>
                <w:color w:val="000000"/>
                <w:szCs w:val="21"/>
                <w:lang w:eastAsia="zh-CN"/>
              </w:rPr>
              <w:t>；</w:t>
            </w:r>
          </w:p>
          <w:p>
            <w:pPr>
              <w:ind w:left="210" w:leftChars="100" w:firstLine="420" w:firstLineChars="200"/>
              <w:rPr>
                <w:rFonts w:hint="eastAsia" w:ascii="Times New Roman" w:hAnsi="Times New Roman" w:eastAsia="宋体"/>
                <w:bCs/>
                <w:iCs/>
                <w:color w:val="000000"/>
                <w:szCs w:val="21"/>
                <w:lang w:eastAsia="zh-CN"/>
              </w:rPr>
            </w:pPr>
            <w:r>
              <w:rPr>
                <w:rFonts w:hint="eastAsia" w:ascii="Times New Roman" w:hAnsi="Times New Roman"/>
                <w:bCs/>
                <w:iCs/>
                <w:color w:val="000000"/>
                <w:szCs w:val="21"/>
              </w:rPr>
              <w:t>2）根据历史欠款，加强收款压力传递，将收款与经营单位及个人的绩效挂钩，促进回款</w:t>
            </w:r>
            <w:r>
              <w:rPr>
                <w:rFonts w:hint="eastAsia" w:ascii="Times New Roman" w:hAnsi="Times New Roman"/>
                <w:bCs/>
                <w:iCs/>
                <w:color w:val="000000"/>
                <w:szCs w:val="21"/>
                <w:lang w:eastAsia="zh-CN"/>
              </w:rPr>
              <w:t>；</w:t>
            </w:r>
          </w:p>
          <w:p>
            <w:pPr>
              <w:ind w:left="210" w:leftChars="100" w:firstLine="420" w:firstLineChars="200"/>
              <w:rPr>
                <w:rFonts w:hint="eastAsia" w:ascii="Times New Roman" w:hAnsi="Times New Roman" w:eastAsia="宋体"/>
                <w:bCs/>
                <w:iCs/>
                <w:color w:val="000000"/>
                <w:szCs w:val="21"/>
                <w:lang w:eastAsia="zh-CN"/>
              </w:rPr>
            </w:pPr>
            <w:r>
              <w:rPr>
                <w:rFonts w:hint="eastAsia" w:ascii="Times New Roman" w:hAnsi="Times New Roman"/>
                <w:bCs/>
                <w:iCs/>
                <w:color w:val="000000"/>
                <w:szCs w:val="21"/>
              </w:rPr>
              <w:t>3）组建供应链和子公司加大采购规模优势，获取采购付款商务谈判优势</w:t>
            </w:r>
            <w:r>
              <w:rPr>
                <w:rFonts w:hint="eastAsia" w:ascii="Times New Roman" w:hAnsi="Times New Roman"/>
                <w:bCs/>
                <w:iCs/>
                <w:color w:val="000000"/>
                <w:szCs w:val="21"/>
                <w:lang w:eastAsia="zh-CN"/>
              </w:rPr>
              <w:t>；</w:t>
            </w:r>
          </w:p>
          <w:p>
            <w:pPr>
              <w:ind w:left="210" w:leftChars="100" w:firstLine="420" w:firstLineChars="200"/>
              <w:rPr>
                <w:rFonts w:ascii="Times New Roman" w:hAnsi="Times New Roman"/>
                <w:bCs/>
                <w:iCs/>
                <w:color w:val="000000"/>
                <w:szCs w:val="21"/>
              </w:rPr>
            </w:pPr>
            <w:r>
              <w:rPr>
                <w:rFonts w:hint="eastAsia" w:ascii="Times New Roman" w:hAnsi="Times New Roman"/>
                <w:bCs/>
                <w:iCs/>
                <w:color w:val="000000"/>
                <w:szCs w:val="21"/>
              </w:rPr>
              <w:t>4）严格控制期间费用</w:t>
            </w:r>
            <w:r>
              <w:rPr>
                <w:rFonts w:hint="eastAsia" w:ascii="Times New Roman" w:hAnsi="Times New Roman"/>
                <w:bCs/>
                <w:iCs/>
                <w:color w:val="000000"/>
                <w:szCs w:val="21"/>
                <w:lang w:eastAsia="zh-CN"/>
              </w:rPr>
              <w:t>。</w:t>
            </w:r>
          </w:p>
          <w:p>
            <w:pPr>
              <w:numPr>
                <w:ilvl w:val="0"/>
                <w:numId w:val="2"/>
              </w:numPr>
              <w:ind w:left="425" w:leftChars="0" w:hanging="425" w:firstLineChars="0"/>
              <w:rPr>
                <w:rFonts w:ascii="Times New Roman" w:hAnsi="Times New Roman"/>
                <w:b/>
                <w:iCs/>
                <w:color w:val="000000"/>
                <w:szCs w:val="21"/>
              </w:rPr>
            </w:pPr>
            <w:r>
              <w:rPr>
                <w:rFonts w:hint="eastAsia" w:ascii="Times New Roman" w:hAnsi="Times New Roman"/>
                <w:b/>
                <w:iCs/>
                <w:color w:val="000000"/>
                <w:szCs w:val="21"/>
              </w:rPr>
              <w:t>公司上半年的研发投入方向以及下半年研发投入规划是什么？研发费用资本化的比率是多少？研发费用资本化后的摊销期限如何确定？</w:t>
            </w:r>
          </w:p>
          <w:p>
            <w:pPr>
              <w:ind w:left="210" w:leftChars="100" w:firstLine="420" w:firstLineChars="200"/>
              <w:rPr>
                <w:rFonts w:ascii="Times New Roman" w:hAnsi="Times New Roman"/>
                <w:bCs/>
                <w:iCs/>
                <w:color w:val="000000"/>
                <w:szCs w:val="21"/>
                <w:highlight w:val="none"/>
              </w:rPr>
            </w:pPr>
            <w:r>
              <w:rPr>
                <w:rFonts w:hint="eastAsia" w:ascii="Times New Roman" w:hAnsi="Times New Roman"/>
                <w:bCs/>
                <w:iCs/>
                <w:color w:val="000000"/>
                <w:szCs w:val="21"/>
              </w:rPr>
              <w:t>在研发投入上，公司持续聚焦车联网和公安执法规范化两大业务主航</w:t>
            </w:r>
            <w:r>
              <w:rPr>
                <w:rFonts w:hint="eastAsia" w:ascii="Times New Roman" w:hAnsi="Times New Roman"/>
                <w:bCs/>
                <w:iCs/>
                <w:color w:val="000000"/>
                <w:szCs w:val="21"/>
                <w:highlight w:val="none"/>
              </w:rPr>
              <w:t>道，专门划拨</w:t>
            </w:r>
            <w:r>
              <w:rPr>
                <w:rFonts w:ascii="Times New Roman" w:hAnsi="Times New Roman"/>
                <w:bCs/>
                <w:iCs/>
                <w:color w:val="000000"/>
                <w:szCs w:val="21"/>
                <w:highlight w:val="none"/>
              </w:rPr>
              <w:t>2.14</w:t>
            </w:r>
            <w:r>
              <w:rPr>
                <w:rFonts w:hint="eastAsia" w:ascii="Times New Roman" w:hAnsi="Times New Roman"/>
                <w:bCs/>
                <w:iCs/>
                <w:color w:val="000000"/>
                <w:szCs w:val="21"/>
                <w:highlight w:val="none"/>
              </w:rPr>
              <w:t>亿元的预算去支持于</w:t>
            </w:r>
            <w:r>
              <w:rPr>
                <w:rFonts w:ascii="Times New Roman" w:hAnsi="Times New Roman"/>
                <w:bCs/>
                <w:iCs/>
                <w:color w:val="000000"/>
                <w:szCs w:val="21"/>
                <w:highlight w:val="none"/>
              </w:rPr>
              <w:t>5G</w:t>
            </w:r>
            <w:r>
              <w:rPr>
                <w:rFonts w:hint="eastAsia" w:ascii="Times New Roman" w:hAnsi="Times New Roman"/>
                <w:bCs/>
                <w:iCs/>
                <w:color w:val="000000"/>
                <w:szCs w:val="21"/>
                <w:highlight w:val="none"/>
              </w:rPr>
              <w:t>和</w:t>
            </w:r>
            <w:r>
              <w:rPr>
                <w:rFonts w:ascii="Times New Roman" w:hAnsi="Times New Roman"/>
                <w:bCs/>
                <w:iCs/>
                <w:color w:val="000000"/>
                <w:szCs w:val="21"/>
                <w:highlight w:val="none"/>
              </w:rPr>
              <w:t>C-V2X</w:t>
            </w:r>
            <w:r>
              <w:rPr>
                <w:rFonts w:hint="eastAsia" w:ascii="Times New Roman" w:hAnsi="Times New Roman"/>
                <w:bCs/>
                <w:iCs/>
                <w:color w:val="000000"/>
                <w:szCs w:val="21"/>
                <w:highlight w:val="none"/>
              </w:rPr>
              <w:t>产品项目的研发。上半年研发投入增长</w:t>
            </w:r>
            <w:r>
              <w:rPr>
                <w:rFonts w:ascii="Times New Roman" w:hAnsi="Times New Roman"/>
                <w:bCs/>
                <w:iCs/>
                <w:color w:val="000000"/>
                <w:szCs w:val="21"/>
                <w:highlight w:val="none"/>
              </w:rPr>
              <w:t>47%</w:t>
            </w:r>
            <w:r>
              <w:rPr>
                <w:rFonts w:hint="eastAsia" w:ascii="Times New Roman" w:hAnsi="Times New Roman"/>
                <w:bCs/>
                <w:iCs/>
                <w:color w:val="000000"/>
                <w:szCs w:val="21"/>
                <w:highlight w:val="none"/>
              </w:rPr>
              <w:t>，主要投</w:t>
            </w:r>
            <w:r>
              <w:rPr>
                <w:rFonts w:hint="eastAsia" w:ascii="Times New Roman" w:hAnsi="Times New Roman"/>
                <w:bCs/>
                <w:iCs/>
                <w:color w:val="000000"/>
                <w:szCs w:val="21"/>
                <w:highlight w:val="none"/>
                <w:lang w:eastAsia="zh-CN"/>
              </w:rPr>
              <w:t>入在</w:t>
            </w:r>
            <w:r>
              <w:rPr>
                <w:rFonts w:hint="eastAsia" w:ascii="Times New Roman" w:hAnsi="Times New Roman"/>
                <w:bCs/>
                <w:iCs/>
                <w:color w:val="000000"/>
                <w:szCs w:val="21"/>
                <w:highlight w:val="none"/>
              </w:rPr>
              <w:t>上述两大主航道。年初规划是</w:t>
            </w:r>
            <w:r>
              <w:rPr>
                <w:rFonts w:ascii="Times New Roman" w:hAnsi="Times New Roman"/>
                <w:bCs/>
                <w:iCs/>
                <w:color w:val="000000"/>
                <w:szCs w:val="21"/>
                <w:highlight w:val="none"/>
              </w:rPr>
              <w:t>6</w:t>
            </w:r>
            <w:r>
              <w:rPr>
                <w:rFonts w:hint="eastAsia" w:ascii="Times New Roman" w:hAnsi="Times New Roman"/>
                <w:bCs/>
                <w:iCs/>
                <w:color w:val="000000"/>
                <w:szCs w:val="21"/>
                <w:highlight w:val="none"/>
              </w:rPr>
              <w:t>亿元，将通过费用控制尽量达到全年的预算</w:t>
            </w:r>
            <w:r>
              <w:rPr>
                <w:rFonts w:hint="eastAsia" w:ascii="Times New Roman" w:hAnsi="Times New Roman"/>
                <w:bCs/>
                <w:iCs/>
                <w:color w:val="000000"/>
                <w:szCs w:val="21"/>
                <w:highlight w:val="none"/>
                <w:lang w:eastAsia="zh-CN"/>
              </w:rPr>
              <w:t>，</w:t>
            </w:r>
            <w:r>
              <w:rPr>
                <w:rFonts w:hint="default" w:ascii="Times New Roman" w:hAnsi="Times New Roman" w:cs="Times New Roman"/>
                <w:color w:val="333333"/>
                <w:szCs w:val="21"/>
                <w:highlight w:val="none"/>
                <w:shd w:val="clear" w:color="auto" w:fill="FFFFFF"/>
                <w:lang w:eastAsia="zh-CN"/>
              </w:rPr>
              <w:t>提高管理效率，保证研发投入力度</w:t>
            </w:r>
            <w:r>
              <w:rPr>
                <w:rFonts w:hint="eastAsia" w:ascii="Times New Roman" w:hAnsi="Times New Roman"/>
                <w:bCs/>
                <w:iCs/>
                <w:color w:val="000000"/>
                <w:szCs w:val="21"/>
                <w:highlight w:val="none"/>
              </w:rPr>
              <w:t>。</w:t>
            </w:r>
          </w:p>
          <w:p>
            <w:pPr>
              <w:ind w:left="210" w:leftChars="100" w:firstLine="420" w:firstLineChars="200"/>
              <w:rPr>
                <w:rFonts w:ascii="Times New Roman" w:hAnsi="Times New Roman"/>
                <w:bCs/>
                <w:iCs/>
                <w:color w:val="000000"/>
                <w:szCs w:val="21"/>
              </w:rPr>
            </w:pPr>
            <w:r>
              <w:rPr>
                <w:rFonts w:hint="eastAsia" w:ascii="Times New Roman" w:hAnsi="Times New Roman"/>
                <w:bCs/>
                <w:iCs/>
                <w:color w:val="000000"/>
                <w:szCs w:val="21"/>
                <w:highlight w:val="none"/>
              </w:rPr>
              <w:t>年初集团下达的目标是研发费用资本化率不</w:t>
            </w:r>
            <w:r>
              <w:rPr>
                <w:rFonts w:hint="eastAsia" w:ascii="Times New Roman" w:hAnsi="Times New Roman"/>
                <w:bCs/>
                <w:iCs/>
                <w:color w:val="000000"/>
                <w:szCs w:val="21"/>
              </w:rPr>
              <w:t>超过</w:t>
            </w:r>
            <w:r>
              <w:rPr>
                <w:rFonts w:ascii="Times New Roman" w:hAnsi="Times New Roman"/>
                <w:bCs/>
                <w:iCs/>
                <w:color w:val="000000"/>
                <w:szCs w:val="21"/>
              </w:rPr>
              <w:t>15%</w:t>
            </w:r>
            <w:r>
              <w:rPr>
                <w:rFonts w:hint="eastAsia" w:ascii="Times New Roman" w:hAnsi="Times New Roman"/>
                <w:bCs/>
                <w:iCs/>
                <w:color w:val="000000"/>
                <w:szCs w:val="21"/>
              </w:rPr>
              <w:t>，下半年相比上半年可能会有上升。研发费用资本化后的摊销期限会根据产品的生命周期来综合考量。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iCs/>
                <w:color w:val="000000"/>
                <w:szCs w:val="21"/>
              </w:rPr>
            </w:pPr>
            <w:r>
              <w:rPr>
                <w:rFonts w:ascii="Times New Roman" w:hAnsi="Times New Roman"/>
                <w:bCs/>
                <w:iCs/>
                <w:color w:val="000000"/>
                <w:szCs w:val="21"/>
              </w:rPr>
              <w:t>附件清单（如有）</w:t>
            </w:r>
          </w:p>
        </w:tc>
        <w:tc>
          <w:tcPr>
            <w:tcW w:w="63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bCs/>
                <w:iCs/>
                <w:color w:val="000000"/>
                <w:szCs w:val="21"/>
              </w:rPr>
            </w:pPr>
            <w:r>
              <w:rPr>
                <w:rFonts w:ascii="Times New Roman" w:hAnsi="Times New Roman"/>
                <w:bCs/>
                <w:iCs/>
                <w:color w:val="000000"/>
                <w:szCs w:val="21"/>
              </w:rPr>
              <w:t>无</w:t>
            </w:r>
          </w:p>
        </w:tc>
      </w:tr>
    </w:tbl>
    <w:p>
      <w:pPr>
        <w:spacing w:line="400" w:lineRule="exact"/>
        <w:rPr>
          <w:rFonts w:ascii="Times New Roman" w:hAnsi="Times New Roman"/>
        </w:rPr>
      </w:pPr>
    </w:p>
    <w:p>
      <w:pPr>
        <w:rPr>
          <w:rFonts w:ascii="Times New Roman" w:hAnsi="Times New Roman"/>
        </w:rPr>
      </w:pPr>
    </w:p>
    <w:p>
      <w:pPr>
        <w:rPr>
          <w:rFonts w:ascii="Times New Roman" w:hAnsi="Times New Roma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PSMT">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5</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DEE2A0"/>
    <w:multiLevelType w:val="singleLevel"/>
    <w:tmpl w:val="ACDEE2A0"/>
    <w:lvl w:ilvl="0" w:tentative="0">
      <w:start w:val="1"/>
      <w:numFmt w:val="decimal"/>
      <w:lvlText w:val="%1."/>
      <w:lvlJc w:val="left"/>
      <w:pPr>
        <w:ind w:left="425" w:hanging="425"/>
      </w:pPr>
      <w:rPr>
        <w:rFonts w:hint="default"/>
      </w:rPr>
    </w:lvl>
  </w:abstractNum>
  <w:abstractNum w:abstractNumId="1">
    <w:nsid w:val="7236E481"/>
    <w:multiLevelType w:val="singleLevel"/>
    <w:tmpl w:val="7236E481"/>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AF7"/>
    <w:rsid w:val="000309DD"/>
    <w:rsid w:val="00052D71"/>
    <w:rsid w:val="0006544D"/>
    <w:rsid w:val="000740B9"/>
    <w:rsid w:val="0009694D"/>
    <w:rsid w:val="000A6E2E"/>
    <w:rsid w:val="000E2EDB"/>
    <w:rsid w:val="000F141A"/>
    <w:rsid w:val="000F5440"/>
    <w:rsid w:val="000F7885"/>
    <w:rsid w:val="0012327A"/>
    <w:rsid w:val="0013246B"/>
    <w:rsid w:val="00137334"/>
    <w:rsid w:val="00140058"/>
    <w:rsid w:val="00144C7C"/>
    <w:rsid w:val="00150E47"/>
    <w:rsid w:val="001564B1"/>
    <w:rsid w:val="0016100C"/>
    <w:rsid w:val="00161D1E"/>
    <w:rsid w:val="001632E2"/>
    <w:rsid w:val="00172A27"/>
    <w:rsid w:val="00175DCC"/>
    <w:rsid w:val="001A39F6"/>
    <w:rsid w:val="001B614D"/>
    <w:rsid w:val="001C28F2"/>
    <w:rsid w:val="001D248F"/>
    <w:rsid w:val="001E43FC"/>
    <w:rsid w:val="00200333"/>
    <w:rsid w:val="00203D24"/>
    <w:rsid w:val="00206091"/>
    <w:rsid w:val="0021154D"/>
    <w:rsid w:val="002147F8"/>
    <w:rsid w:val="002223A1"/>
    <w:rsid w:val="002477CF"/>
    <w:rsid w:val="002526C2"/>
    <w:rsid w:val="00273F90"/>
    <w:rsid w:val="00287F1F"/>
    <w:rsid w:val="0029136D"/>
    <w:rsid w:val="002950C3"/>
    <w:rsid w:val="002B3409"/>
    <w:rsid w:val="002D001A"/>
    <w:rsid w:val="003011AB"/>
    <w:rsid w:val="0033260C"/>
    <w:rsid w:val="00335B8D"/>
    <w:rsid w:val="003478FD"/>
    <w:rsid w:val="0035542B"/>
    <w:rsid w:val="00355E8A"/>
    <w:rsid w:val="00373FA7"/>
    <w:rsid w:val="0038184A"/>
    <w:rsid w:val="00383326"/>
    <w:rsid w:val="00393126"/>
    <w:rsid w:val="003A2DCA"/>
    <w:rsid w:val="003A5E37"/>
    <w:rsid w:val="003A7A09"/>
    <w:rsid w:val="003B1CF1"/>
    <w:rsid w:val="003B34D5"/>
    <w:rsid w:val="003B5E0B"/>
    <w:rsid w:val="003C18FD"/>
    <w:rsid w:val="003D1C50"/>
    <w:rsid w:val="003D5D01"/>
    <w:rsid w:val="003F0277"/>
    <w:rsid w:val="00416690"/>
    <w:rsid w:val="00425851"/>
    <w:rsid w:val="00431641"/>
    <w:rsid w:val="00431C01"/>
    <w:rsid w:val="004417DC"/>
    <w:rsid w:val="00470C93"/>
    <w:rsid w:val="00492F9A"/>
    <w:rsid w:val="0049342A"/>
    <w:rsid w:val="004941E4"/>
    <w:rsid w:val="004B08E0"/>
    <w:rsid w:val="004B6752"/>
    <w:rsid w:val="004C55EA"/>
    <w:rsid w:val="004D21AB"/>
    <w:rsid w:val="004D3410"/>
    <w:rsid w:val="004E2A18"/>
    <w:rsid w:val="004F3028"/>
    <w:rsid w:val="00522E66"/>
    <w:rsid w:val="00531273"/>
    <w:rsid w:val="005408C3"/>
    <w:rsid w:val="0054306E"/>
    <w:rsid w:val="00564E52"/>
    <w:rsid w:val="00592687"/>
    <w:rsid w:val="005B76A5"/>
    <w:rsid w:val="005C2E0C"/>
    <w:rsid w:val="005D2335"/>
    <w:rsid w:val="005D445A"/>
    <w:rsid w:val="005E2819"/>
    <w:rsid w:val="00601167"/>
    <w:rsid w:val="006133B9"/>
    <w:rsid w:val="00620525"/>
    <w:rsid w:val="006376E6"/>
    <w:rsid w:val="006429D2"/>
    <w:rsid w:val="0064763A"/>
    <w:rsid w:val="006633B5"/>
    <w:rsid w:val="00664427"/>
    <w:rsid w:val="0066721E"/>
    <w:rsid w:val="00672FD1"/>
    <w:rsid w:val="00676307"/>
    <w:rsid w:val="00691F80"/>
    <w:rsid w:val="00697BAA"/>
    <w:rsid w:val="006A5756"/>
    <w:rsid w:val="006B40C6"/>
    <w:rsid w:val="006E15F2"/>
    <w:rsid w:val="006E4082"/>
    <w:rsid w:val="00712941"/>
    <w:rsid w:val="00715140"/>
    <w:rsid w:val="00724C01"/>
    <w:rsid w:val="007353F8"/>
    <w:rsid w:val="0075232D"/>
    <w:rsid w:val="00754FA0"/>
    <w:rsid w:val="00757E60"/>
    <w:rsid w:val="00762475"/>
    <w:rsid w:val="00766411"/>
    <w:rsid w:val="00770DCD"/>
    <w:rsid w:val="0077140A"/>
    <w:rsid w:val="007A389C"/>
    <w:rsid w:val="007B3AF8"/>
    <w:rsid w:val="007C3881"/>
    <w:rsid w:val="007C6C1A"/>
    <w:rsid w:val="007D4468"/>
    <w:rsid w:val="007D4F50"/>
    <w:rsid w:val="007D7A6E"/>
    <w:rsid w:val="007D7CC9"/>
    <w:rsid w:val="007E2C99"/>
    <w:rsid w:val="007E61A5"/>
    <w:rsid w:val="007F1227"/>
    <w:rsid w:val="007F222C"/>
    <w:rsid w:val="00823FE2"/>
    <w:rsid w:val="00834423"/>
    <w:rsid w:val="00836716"/>
    <w:rsid w:val="00851610"/>
    <w:rsid w:val="00863A76"/>
    <w:rsid w:val="008951BD"/>
    <w:rsid w:val="008A62A0"/>
    <w:rsid w:val="008B24D4"/>
    <w:rsid w:val="008B63AC"/>
    <w:rsid w:val="008B79AE"/>
    <w:rsid w:val="008C339B"/>
    <w:rsid w:val="008C3D30"/>
    <w:rsid w:val="008D00C4"/>
    <w:rsid w:val="008D1665"/>
    <w:rsid w:val="008D66E7"/>
    <w:rsid w:val="008E728A"/>
    <w:rsid w:val="00902B23"/>
    <w:rsid w:val="00905647"/>
    <w:rsid w:val="00914B49"/>
    <w:rsid w:val="0091663C"/>
    <w:rsid w:val="0092684B"/>
    <w:rsid w:val="00940F6E"/>
    <w:rsid w:val="00942D37"/>
    <w:rsid w:val="00943077"/>
    <w:rsid w:val="00946440"/>
    <w:rsid w:val="00951EB9"/>
    <w:rsid w:val="00956A3C"/>
    <w:rsid w:val="0099190C"/>
    <w:rsid w:val="009A4432"/>
    <w:rsid w:val="009B15AA"/>
    <w:rsid w:val="009B7732"/>
    <w:rsid w:val="009D1819"/>
    <w:rsid w:val="009F2899"/>
    <w:rsid w:val="009F4AF7"/>
    <w:rsid w:val="009F7E5A"/>
    <w:rsid w:val="00A06B98"/>
    <w:rsid w:val="00A1524C"/>
    <w:rsid w:val="00A26B42"/>
    <w:rsid w:val="00A43F63"/>
    <w:rsid w:val="00A63447"/>
    <w:rsid w:val="00A736D4"/>
    <w:rsid w:val="00A74FBC"/>
    <w:rsid w:val="00A86318"/>
    <w:rsid w:val="00A93916"/>
    <w:rsid w:val="00AA7A39"/>
    <w:rsid w:val="00AB69A3"/>
    <w:rsid w:val="00AE12EE"/>
    <w:rsid w:val="00AE6A56"/>
    <w:rsid w:val="00AF58DD"/>
    <w:rsid w:val="00B02061"/>
    <w:rsid w:val="00B22A81"/>
    <w:rsid w:val="00B33A3D"/>
    <w:rsid w:val="00B37341"/>
    <w:rsid w:val="00B402C2"/>
    <w:rsid w:val="00B606AA"/>
    <w:rsid w:val="00B6688F"/>
    <w:rsid w:val="00B762E2"/>
    <w:rsid w:val="00B7782A"/>
    <w:rsid w:val="00B81F92"/>
    <w:rsid w:val="00B91A17"/>
    <w:rsid w:val="00B93801"/>
    <w:rsid w:val="00B93EC7"/>
    <w:rsid w:val="00BA433C"/>
    <w:rsid w:val="00BD2D86"/>
    <w:rsid w:val="00BD722E"/>
    <w:rsid w:val="00BD78DE"/>
    <w:rsid w:val="00BE0007"/>
    <w:rsid w:val="00BE4AAE"/>
    <w:rsid w:val="00BF10C0"/>
    <w:rsid w:val="00C22E3D"/>
    <w:rsid w:val="00C33CDB"/>
    <w:rsid w:val="00C47F64"/>
    <w:rsid w:val="00C5660E"/>
    <w:rsid w:val="00C66AE3"/>
    <w:rsid w:val="00C744C2"/>
    <w:rsid w:val="00C80873"/>
    <w:rsid w:val="00C840F0"/>
    <w:rsid w:val="00CB16AC"/>
    <w:rsid w:val="00CB3245"/>
    <w:rsid w:val="00CB6561"/>
    <w:rsid w:val="00CD1309"/>
    <w:rsid w:val="00CD7591"/>
    <w:rsid w:val="00CE4802"/>
    <w:rsid w:val="00D053C0"/>
    <w:rsid w:val="00D26FB6"/>
    <w:rsid w:val="00D5234F"/>
    <w:rsid w:val="00D7053C"/>
    <w:rsid w:val="00D70545"/>
    <w:rsid w:val="00D81BC9"/>
    <w:rsid w:val="00D838F3"/>
    <w:rsid w:val="00D855CF"/>
    <w:rsid w:val="00D94A9E"/>
    <w:rsid w:val="00DA7D44"/>
    <w:rsid w:val="00DB1549"/>
    <w:rsid w:val="00DB1D4F"/>
    <w:rsid w:val="00DD1B16"/>
    <w:rsid w:val="00DD3439"/>
    <w:rsid w:val="00DE5F46"/>
    <w:rsid w:val="00E26A56"/>
    <w:rsid w:val="00E35D8D"/>
    <w:rsid w:val="00E43F00"/>
    <w:rsid w:val="00E45F51"/>
    <w:rsid w:val="00E46532"/>
    <w:rsid w:val="00E50359"/>
    <w:rsid w:val="00E64773"/>
    <w:rsid w:val="00E83C6C"/>
    <w:rsid w:val="00EB669B"/>
    <w:rsid w:val="00EB6D5C"/>
    <w:rsid w:val="00EC2172"/>
    <w:rsid w:val="00EC78DC"/>
    <w:rsid w:val="00EE4EFA"/>
    <w:rsid w:val="00F03150"/>
    <w:rsid w:val="00F258D9"/>
    <w:rsid w:val="00F6080C"/>
    <w:rsid w:val="00F70A19"/>
    <w:rsid w:val="00F82854"/>
    <w:rsid w:val="00F83FD0"/>
    <w:rsid w:val="00F868DD"/>
    <w:rsid w:val="00F902A7"/>
    <w:rsid w:val="00F9455B"/>
    <w:rsid w:val="00F94C1D"/>
    <w:rsid w:val="00FA3584"/>
    <w:rsid w:val="00FA4EAF"/>
    <w:rsid w:val="00FB233F"/>
    <w:rsid w:val="00FC58AE"/>
    <w:rsid w:val="00FF379B"/>
    <w:rsid w:val="0177116A"/>
    <w:rsid w:val="02020072"/>
    <w:rsid w:val="022645EA"/>
    <w:rsid w:val="02BD4372"/>
    <w:rsid w:val="030F6F77"/>
    <w:rsid w:val="035E2699"/>
    <w:rsid w:val="03627609"/>
    <w:rsid w:val="03D73223"/>
    <w:rsid w:val="04433E88"/>
    <w:rsid w:val="04CE4671"/>
    <w:rsid w:val="053058C0"/>
    <w:rsid w:val="061A135F"/>
    <w:rsid w:val="063F4B18"/>
    <w:rsid w:val="06554661"/>
    <w:rsid w:val="06645B08"/>
    <w:rsid w:val="067A25B2"/>
    <w:rsid w:val="067C2A6B"/>
    <w:rsid w:val="07076DFF"/>
    <w:rsid w:val="07B01A85"/>
    <w:rsid w:val="07CE4416"/>
    <w:rsid w:val="0866522A"/>
    <w:rsid w:val="0867184C"/>
    <w:rsid w:val="08A76578"/>
    <w:rsid w:val="090A738B"/>
    <w:rsid w:val="09380BE1"/>
    <w:rsid w:val="096C38B7"/>
    <w:rsid w:val="09A8777C"/>
    <w:rsid w:val="09B36B31"/>
    <w:rsid w:val="09D7104D"/>
    <w:rsid w:val="0A3D5385"/>
    <w:rsid w:val="0A9B5B54"/>
    <w:rsid w:val="0AF414C2"/>
    <w:rsid w:val="0B5C0E15"/>
    <w:rsid w:val="0BB32E44"/>
    <w:rsid w:val="0C8D24F2"/>
    <w:rsid w:val="0DA25A50"/>
    <w:rsid w:val="0DB83143"/>
    <w:rsid w:val="0DBA2D0F"/>
    <w:rsid w:val="0DC1432D"/>
    <w:rsid w:val="0DE3239A"/>
    <w:rsid w:val="0E13091C"/>
    <w:rsid w:val="0FCD7E8D"/>
    <w:rsid w:val="10382F11"/>
    <w:rsid w:val="115172A9"/>
    <w:rsid w:val="11AF31C6"/>
    <w:rsid w:val="11D93754"/>
    <w:rsid w:val="12533A46"/>
    <w:rsid w:val="12554EFB"/>
    <w:rsid w:val="12731335"/>
    <w:rsid w:val="12896B3E"/>
    <w:rsid w:val="13551B27"/>
    <w:rsid w:val="137B7870"/>
    <w:rsid w:val="13DB0F4E"/>
    <w:rsid w:val="142C319B"/>
    <w:rsid w:val="14330E77"/>
    <w:rsid w:val="144E03CF"/>
    <w:rsid w:val="14672DA5"/>
    <w:rsid w:val="14B50D3F"/>
    <w:rsid w:val="153A0651"/>
    <w:rsid w:val="155B4AE2"/>
    <w:rsid w:val="15913322"/>
    <w:rsid w:val="15CC2118"/>
    <w:rsid w:val="15E7238B"/>
    <w:rsid w:val="161E3919"/>
    <w:rsid w:val="162D6186"/>
    <w:rsid w:val="16442A37"/>
    <w:rsid w:val="164C3629"/>
    <w:rsid w:val="1699677E"/>
    <w:rsid w:val="16F6459E"/>
    <w:rsid w:val="177744EB"/>
    <w:rsid w:val="17A31DBB"/>
    <w:rsid w:val="17FE779D"/>
    <w:rsid w:val="18CA7CCD"/>
    <w:rsid w:val="18D05710"/>
    <w:rsid w:val="1965684C"/>
    <w:rsid w:val="19D41070"/>
    <w:rsid w:val="19F43EA9"/>
    <w:rsid w:val="1A373E27"/>
    <w:rsid w:val="1B612FD5"/>
    <w:rsid w:val="1B7577B7"/>
    <w:rsid w:val="1B793CFC"/>
    <w:rsid w:val="1BBE0E86"/>
    <w:rsid w:val="1BF87FB1"/>
    <w:rsid w:val="1C372BD8"/>
    <w:rsid w:val="1C6E70D7"/>
    <w:rsid w:val="1CDB2011"/>
    <w:rsid w:val="1CF1570E"/>
    <w:rsid w:val="1D153B53"/>
    <w:rsid w:val="1D4938D3"/>
    <w:rsid w:val="1D973CA1"/>
    <w:rsid w:val="1DAB321C"/>
    <w:rsid w:val="1DB36B9B"/>
    <w:rsid w:val="1DE64D3B"/>
    <w:rsid w:val="1DE80787"/>
    <w:rsid w:val="1FE707D8"/>
    <w:rsid w:val="2012793A"/>
    <w:rsid w:val="204F5563"/>
    <w:rsid w:val="207D6093"/>
    <w:rsid w:val="21092635"/>
    <w:rsid w:val="211A1EB8"/>
    <w:rsid w:val="21A53A2A"/>
    <w:rsid w:val="22727A0B"/>
    <w:rsid w:val="227A6273"/>
    <w:rsid w:val="22DC6DEF"/>
    <w:rsid w:val="231B1879"/>
    <w:rsid w:val="23313355"/>
    <w:rsid w:val="23532B2F"/>
    <w:rsid w:val="23710F43"/>
    <w:rsid w:val="240A50E5"/>
    <w:rsid w:val="2496713E"/>
    <w:rsid w:val="24BE0EC8"/>
    <w:rsid w:val="256A5B6C"/>
    <w:rsid w:val="258A2F94"/>
    <w:rsid w:val="25A10939"/>
    <w:rsid w:val="25DC5E37"/>
    <w:rsid w:val="25F4775F"/>
    <w:rsid w:val="262A2D91"/>
    <w:rsid w:val="26466A36"/>
    <w:rsid w:val="266E6EC0"/>
    <w:rsid w:val="2690122B"/>
    <w:rsid w:val="269E16BD"/>
    <w:rsid w:val="26EE4488"/>
    <w:rsid w:val="27900456"/>
    <w:rsid w:val="27B63572"/>
    <w:rsid w:val="27BC6E9B"/>
    <w:rsid w:val="27CC2FFC"/>
    <w:rsid w:val="28D82D64"/>
    <w:rsid w:val="28FE79F5"/>
    <w:rsid w:val="29100149"/>
    <w:rsid w:val="2922555B"/>
    <w:rsid w:val="29232AE2"/>
    <w:rsid w:val="29D85C4B"/>
    <w:rsid w:val="2A2D1FFC"/>
    <w:rsid w:val="2A3C4A25"/>
    <w:rsid w:val="2AD6609D"/>
    <w:rsid w:val="2AE4385D"/>
    <w:rsid w:val="2AEF1A2A"/>
    <w:rsid w:val="2B0928DA"/>
    <w:rsid w:val="2B4F01BD"/>
    <w:rsid w:val="2BC14E00"/>
    <w:rsid w:val="2C1D303F"/>
    <w:rsid w:val="2CBD20FC"/>
    <w:rsid w:val="2D031D8C"/>
    <w:rsid w:val="2D04268A"/>
    <w:rsid w:val="2D7149BB"/>
    <w:rsid w:val="2D9062E6"/>
    <w:rsid w:val="2DAC2042"/>
    <w:rsid w:val="2DC76723"/>
    <w:rsid w:val="2DCC79A8"/>
    <w:rsid w:val="2E110C0F"/>
    <w:rsid w:val="2E306053"/>
    <w:rsid w:val="2E735844"/>
    <w:rsid w:val="2EFA3A1E"/>
    <w:rsid w:val="2FCB16B2"/>
    <w:rsid w:val="2FDF1F05"/>
    <w:rsid w:val="2FE6092B"/>
    <w:rsid w:val="308A2FC6"/>
    <w:rsid w:val="30AD398C"/>
    <w:rsid w:val="310D0B08"/>
    <w:rsid w:val="31C61E33"/>
    <w:rsid w:val="31CB2FF8"/>
    <w:rsid w:val="31EC3FF8"/>
    <w:rsid w:val="32A35ADA"/>
    <w:rsid w:val="32BA3DD6"/>
    <w:rsid w:val="33220658"/>
    <w:rsid w:val="337C4CFE"/>
    <w:rsid w:val="338E56FF"/>
    <w:rsid w:val="33EA0AF5"/>
    <w:rsid w:val="33ED213B"/>
    <w:rsid w:val="341C18F3"/>
    <w:rsid w:val="34506B7F"/>
    <w:rsid w:val="35185E2B"/>
    <w:rsid w:val="352C6D80"/>
    <w:rsid w:val="354E0C51"/>
    <w:rsid w:val="3626011B"/>
    <w:rsid w:val="363825F5"/>
    <w:rsid w:val="36B20502"/>
    <w:rsid w:val="36F92C86"/>
    <w:rsid w:val="370D7F2B"/>
    <w:rsid w:val="37751B7C"/>
    <w:rsid w:val="37AA683A"/>
    <w:rsid w:val="38B669E3"/>
    <w:rsid w:val="38F972B1"/>
    <w:rsid w:val="393038E9"/>
    <w:rsid w:val="39632569"/>
    <w:rsid w:val="3A2D2BD5"/>
    <w:rsid w:val="3A981A22"/>
    <w:rsid w:val="3B720785"/>
    <w:rsid w:val="3B79257F"/>
    <w:rsid w:val="3BB85989"/>
    <w:rsid w:val="3CFD7D8B"/>
    <w:rsid w:val="3D4456E2"/>
    <w:rsid w:val="3D720050"/>
    <w:rsid w:val="3D84706A"/>
    <w:rsid w:val="3DEE57BF"/>
    <w:rsid w:val="3E7A6736"/>
    <w:rsid w:val="3E7B5C14"/>
    <w:rsid w:val="3EF53FFA"/>
    <w:rsid w:val="3F08328F"/>
    <w:rsid w:val="3F4C2FA0"/>
    <w:rsid w:val="3F645FC4"/>
    <w:rsid w:val="3F9310F8"/>
    <w:rsid w:val="3FC127D3"/>
    <w:rsid w:val="3FD5595A"/>
    <w:rsid w:val="3FFF0FB8"/>
    <w:rsid w:val="402F65CE"/>
    <w:rsid w:val="40E50366"/>
    <w:rsid w:val="41677507"/>
    <w:rsid w:val="41AD59A4"/>
    <w:rsid w:val="41BE3F5E"/>
    <w:rsid w:val="41D836BB"/>
    <w:rsid w:val="4291510D"/>
    <w:rsid w:val="43B10BFB"/>
    <w:rsid w:val="43DD18D6"/>
    <w:rsid w:val="44000925"/>
    <w:rsid w:val="443B34FC"/>
    <w:rsid w:val="443C4B54"/>
    <w:rsid w:val="444410AF"/>
    <w:rsid w:val="44BE35AC"/>
    <w:rsid w:val="45BC7566"/>
    <w:rsid w:val="45C96118"/>
    <w:rsid w:val="46043BB5"/>
    <w:rsid w:val="469511DE"/>
    <w:rsid w:val="46B513FB"/>
    <w:rsid w:val="46BC5812"/>
    <w:rsid w:val="46D35917"/>
    <w:rsid w:val="47016A84"/>
    <w:rsid w:val="475B0355"/>
    <w:rsid w:val="47787013"/>
    <w:rsid w:val="47AB6411"/>
    <w:rsid w:val="47C9204B"/>
    <w:rsid w:val="483D6EF9"/>
    <w:rsid w:val="48A946FE"/>
    <w:rsid w:val="496A77EF"/>
    <w:rsid w:val="497546DE"/>
    <w:rsid w:val="4A0E6E1E"/>
    <w:rsid w:val="4A715053"/>
    <w:rsid w:val="4B000BF6"/>
    <w:rsid w:val="4B226778"/>
    <w:rsid w:val="4B941B11"/>
    <w:rsid w:val="4B9E29A4"/>
    <w:rsid w:val="4BCA7E83"/>
    <w:rsid w:val="4C3D0A97"/>
    <w:rsid w:val="4C72592F"/>
    <w:rsid w:val="4CAD124F"/>
    <w:rsid w:val="4D143D05"/>
    <w:rsid w:val="4DAA7DB4"/>
    <w:rsid w:val="4DD52E24"/>
    <w:rsid w:val="4E184F7F"/>
    <w:rsid w:val="4E2E32C5"/>
    <w:rsid w:val="4E69113E"/>
    <w:rsid w:val="4E987430"/>
    <w:rsid w:val="4EE85A48"/>
    <w:rsid w:val="4EFF0DA5"/>
    <w:rsid w:val="4F4A44CB"/>
    <w:rsid w:val="4F514EC3"/>
    <w:rsid w:val="4F8A3F75"/>
    <w:rsid w:val="4FB231B0"/>
    <w:rsid w:val="502A20B8"/>
    <w:rsid w:val="5031572A"/>
    <w:rsid w:val="506D5550"/>
    <w:rsid w:val="50FF2A46"/>
    <w:rsid w:val="5113429C"/>
    <w:rsid w:val="514C48D6"/>
    <w:rsid w:val="518B635C"/>
    <w:rsid w:val="51B23B59"/>
    <w:rsid w:val="51C001A0"/>
    <w:rsid w:val="52115A40"/>
    <w:rsid w:val="522B0BBD"/>
    <w:rsid w:val="523A1744"/>
    <w:rsid w:val="528100A1"/>
    <w:rsid w:val="5391694B"/>
    <w:rsid w:val="542A30D8"/>
    <w:rsid w:val="54BB7174"/>
    <w:rsid w:val="54D53DF4"/>
    <w:rsid w:val="55232E6B"/>
    <w:rsid w:val="55D40E91"/>
    <w:rsid w:val="56107841"/>
    <w:rsid w:val="5669286D"/>
    <w:rsid w:val="56BB0C0E"/>
    <w:rsid w:val="5711499D"/>
    <w:rsid w:val="575D415A"/>
    <w:rsid w:val="576F2D93"/>
    <w:rsid w:val="57742C7C"/>
    <w:rsid w:val="57822543"/>
    <w:rsid w:val="57E748D2"/>
    <w:rsid w:val="57EE4A58"/>
    <w:rsid w:val="57F05A58"/>
    <w:rsid w:val="57FC65FB"/>
    <w:rsid w:val="588033EC"/>
    <w:rsid w:val="590375A6"/>
    <w:rsid w:val="59BF3F9F"/>
    <w:rsid w:val="59FB6DB1"/>
    <w:rsid w:val="5A033011"/>
    <w:rsid w:val="5A373BA6"/>
    <w:rsid w:val="5AE93763"/>
    <w:rsid w:val="5B7C5113"/>
    <w:rsid w:val="5B9D2225"/>
    <w:rsid w:val="5BFF7929"/>
    <w:rsid w:val="5C435500"/>
    <w:rsid w:val="5C545C14"/>
    <w:rsid w:val="5C7913A4"/>
    <w:rsid w:val="5CBD3223"/>
    <w:rsid w:val="5D117C91"/>
    <w:rsid w:val="5DD904C4"/>
    <w:rsid w:val="5E3927AA"/>
    <w:rsid w:val="5FAB2A7A"/>
    <w:rsid w:val="5FFB1252"/>
    <w:rsid w:val="6056164C"/>
    <w:rsid w:val="609903B3"/>
    <w:rsid w:val="611F37C6"/>
    <w:rsid w:val="6168664B"/>
    <w:rsid w:val="61856D84"/>
    <w:rsid w:val="618723D9"/>
    <w:rsid w:val="61F93AE7"/>
    <w:rsid w:val="621C496A"/>
    <w:rsid w:val="627537F2"/>
    <w:rsid w:val="62B67235"/>
    <w:rsid w:val="630135EA"/>
    <w:rsid w:val="634D58E7"/>
    <w:rsid w:val="6370365C"/>
    <w:rsid w:val="63833AB6"/>
    <w:rsid w:val="63F43A2A"/>
    <w:rsid w:val="66D5507E"/>
    <w:rsid w:val="679C12BF"/>
    <w:rsid w:val="67BE221D"/>
    <w:rsid w:val="68540871"/>
    <w:rsid w:val="69A9676A"/>
    <w:rsid w:val="6A772961"/>
    <w:rsid w:val="6A9A4C71"/>
    <w:rsid w:val="6B924E17"/>
    <w:rsid w:val="6BC24006"/>
    <w:rsid w:val="6C2767E2"/>
    <w:rsid w:val="6CEA579A"/>
    <w:rsid w:val="6D4F2E55"/>
    <w:rsid w:val="6D9918FF"/>
    <w:rsid w:val="6DC611F1"/>
    <w:rsid w:val="6E23576C"/>
    <w:rsid w:val="6E8142DD"/>
    <w:rsid w:val="6EEA295F"/>
    <w:rsid w:val="6F1349A3"/>
    <w:rsid w:val="6F731A83"/>
    <w:rsid w:val="6FE01EBA"/>
    <w:rsid w:val="701C14E9"/>
    <w:rsid w:val="705B5D9A"/>
    <w:rsid w:val="70B05621"/>
    <w:rsid w:val="713D3625"/>
    <w:rsid w:val="71A65C86"/>
    <w:rsid w:val="71BF1D2E"/>
    <w:rsid w:val="71CD66B5"/>
    <w:rsid w:val="720A6D67"/>
    <w:rsid w:val="727E54C9"/>
    <w:rsid w:val="73065A47"/>
    <w:rsid w:val="733C0B34"/>
    <w:rsid w:val="7365125A"/>
    <w:rsid w:val="74732DE9"/>
    <w:rsid w:val="7500469D"/>
    <w:rsid w:val="75712108"/>
    <w:rsid w:val="75BD3D27"/>
    <w:rsid w:val="76027154"/>
    <w:rsid w:val="77486B4D"/>
    <w:rsid w:val="779C655A"/>
    <w:rsid w:val="77A50CAF"/>
    <w:rsid w:val="77DC291F"/>
    <w:rsid w:val="780A1DC1"/>
    <w:rsid w:val="78192353"/>
    <w:rsid w:val="785B27A8"/>
    <w:rsid w:val="78DB7236"/>
    <w:rsid w:val="7A0A43E7"/>
    <w:rsid w:val="7A20208A"/>
    <w:rsid w:val="7A864847"/>
    <w:rsid w:val="7AEC26A5"/>
    <w:rsid w:val="7B224551"/>
    <w:rsid w:val="7B666ECA"/>
    <w:rsid w:val="7B9D5080"/>
    <w:rsid w:val="7BDF5ACB"/>
    <w:rsid w:val="7CFA7DE7"/>
    <w:rsid w:val="7D4F7D24"/>
    <w:rsid w:val="7D6527D7"/>
    <w:rsid w:val="7D7B2E72"/>
    <w:rsid w:val="7DB77458"/>
    <w:rsid w:val="7DF2527D"/>
    <w:rsid w:val="7E0348E1"/>
    <w:rsid w:val="7E7978E3"/>
    <w:rsid w:val="7E964242"/>
    <w:rsid w:val="7EE72DC0"/>
    <w:rsid w:val="7F222F63"/>
    <w:rsid w:val="7F2501D5"/>
    <w:rsid w:val="7F4C60F8"/>
    <w:rsid w:val="7FE03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alloon Text"/>
    <w:basedOn w:val="1"/>
    <w:link w:val="20"/>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paragraph" w:styleId="7">
    <w:name w:val="annotation subject"/>
    <w:basedOn w:val="2"/>
    <w:next w:val="2"/>
    <w:link w:val="22"/>
    <w:unhideWhenUsed/>
    <w:qFormat/>
    <w:uiPriority w:val="99"/>
    <w:rPr>
      <w:b/>
      <w:bCs/>
    </w:rPr>
  </w:style>
  <w:style w:type="character" w:styleId="10">
    <w:name w:val="Strong"/>
    <w:basedOn w:val="9"/>
    <w:qFormat/>
    <w:uiPriority w:val="22"/>
    <w:rPr>
      <w:b/>
    </w:rPr>
  </w:style>
  <w:style w:type="character" w:styleId="11">
    <w:name w:val="FollowedHyperlink"/>
    <w:basedOn w:val="9"/>
    <w:unhideWhenUsed/>
    <w:qFormat/>
    <w:uiPriority w:val="99"/>
    <w:rPr>
      <w:color w:val="800080"/>
      <w:u w:val="single"/>
    </w:rPr>
  </w:style>
  <w:style w:type="character" w:styleId="12">
    <w:name w:val="Hyperlink"/>
    <w:basedOn w:val="9"/>
    <w:unhideWhenUsed/>
    <w:qFormat/>
    <w:uiPriority w:val="99"/>
    <w:rPr>
      <w:color w:val="0000FF"/>
      <w:u w:val="single"/>
    </w:rPr>
  </w:style>
  <w:style w:type="character" w:styleId="13">
    <w:name w:val="annotation reference"/>
    <w:basedOn w:val="9"/>
    <w:unhideWhenUsed/>
    <w:qFormat/>
    <w:uiPriority w:val="0"/>
    <w:rPr>
      <w:sz w:val="21"/>
      <w:szCs w:val="21"/>
    </w:rPr>
  </w:style>
  <w:style w:type="paragraph" w:styleId="14">
    <w:name w:val="List Paragraph"/>
    <w:basedOn w:val="1"/>
    <w:qFormat/>
    <w:uiPriority w:val="34"/>
    <w:pPr>
      <w:ind w:firstLine="420" w:firstLineChars="200"/>
    </w:pPr>
  </w:style>
  <w:style w:type="paragraph" w:customStyle="1" w:styleId="15">
    <w:name w:val="修订1"/>
    <w:semiHidden/>
    <w:qFormat/>
    <w:uiPriority w:val="99"/>
    <w:rPr>
      <w:rFonts w:ascii="Calibri" w:hAnsi="Calibri" w:eastAsia="宋体" w:cs="Times New Roman"/>
      <w:kern w:val="2"/>
      <w:sz w:val="21"/>
      <w:szCs w:val="24"/>
      <w:lang w:val="en-US" w:eastAsia="zh-CN" w:bidi="ar-SA"/>
    </w:rPr>
  </w:style>
  <w:style w:type="character" w:customStyle="1" w:styleId="16">
    <w:name w:val="页眉 Char"/>
    <w:basedOn w:val="9"/>
    <w:link w:val="5"/>
    <w:qFormat/>
    <w:uiPriority w:val="99"/>
    <w:rPr>
      <w:sz w:val="18"/>
      <w:szCs w:val="18"/>
    </w:rPr>
  </w:style>
  <w:style w:type="character" w:customStyle="1" w:styleId="17">
    <w:name w:val="页脚 Char"/>
    <w:basedOn w:val="9"/>
    <w:link w:val="4"/>
    <w:qFormat/>
    <w:uiPriority w:val="99"/>
    <w:rPr>
      <w:sz w:val="18"/>
      <w:szCs w:val="18"/>
    </w:rPr>
  </w:style>
  <w:style w:type="character" w:customStyle="1" w:styleId="18">
    <w:name w:val="批注文字 Char"/>
    <w:basedOn w:val="9"/>
    <w:link w:val="2"/>
    <w:semiHidden/>
    <w:qFormat/>
    <w:uiPriority w:val="99"/>
    <w:rPr>
      <w:rFonts w:ascii="Calibri" w:hAnsi="Calibri"/>
      <w:kern w:val="2"/>
      <w:sz w:val="21"/>
      <w:szCs w:val="24"/>
    </w:rPr>
  </w:style>
  <w:style w:type="character" w:customStyle="1" w:styleId="19">
    <w:name w:val="18"/>
    <w:unhideWhenUsed/>
    <w:qFormat/>
    <w:uiPriority w:val="0"/>
    <w:rPr>
      <w:color w:val="000000"/>
      <w:sz w:val="18"/>
    </w:rPr>
  </w:style>
  <w:style w:type="character" w:customStyle="1" w:styleId="20">
    <w:name w:val="批注框文本 Char"/>
    <w:basedOn w:val="9"/>
    <w:link w:val="3"/>
    <w:semiHidden/>
    <w:qFormat/>
    <w:uiPriority w:val="99"/>
    <w:rPr>
      <w:rFonts w:ascii="Calibri" w:hAnsi="Calibri"/>
      <w:kern w:val="2"/>
      <w:sz w:val="18"/>
      <w:szCs w:val="18"/>
    </w:rPr>
  </w:style>
  <w:style w:type="character" w:customStyle="1" w:styleId="21">
    <w:name w:val="fontstyle01"/>
    <w:basedOn w:val="9"/>
    <w:qFormat/>
    <w:uiPriority w:val="0"/>
    <w:rPr>
      <w:rFonts w:hint="eastAsia" w:ascii="宋体" w:hAnsi="宋体" w:eastAsia="宋体"/>
      <w:color w:val="000000"/>
      <w:sz w:val="22"/>
      <w:szCs w:val="22"/>
    </w:rPr>
  </w:style>
  <w:style w:type="character" w:customStyle="1" w:styleId="22">
    <w:name w:val="批注主题 Char"/>
    <w:basedOn w:val="18"/>
    <w:link w:val="7"/>
    <w:semiHidden/>
    <w:qFormat/>
    <w:uiPriority w:val="99"/>
    <w:rPr>
      <w:rFonts w:ascii="Calibri" w:hAnsi="Calibri"/>
      <w:b/>
      <w:bCs/>
      <w:kern w:val="2"/>
      <w:sz w:val="21"/>
      <w:szCs w:val="24"/>
    </w:rPr>
  </w:style>
  <w:style w:type="character" w:customStyle="1" w:styleId="23">
    <w:name w:val="fontstyle21"/>
    <w:basedOn w:val="9"/>
    <w:qFormat/>
    <w:uiPriority w:val="0"/>
    <w:rPr>
      <w:rFonts w:hint="default" w:ascii="TimesNewRomanPSMT" w:hAnsi="TimesNewRomanPSMT"/>
      <w:color w:val="000000"/>
      <w:sz w:val="22"/>
      <w:szCs w:val="22"/>
    </w:rPr>
  </w:style>
  <w:style w:type="paragraph" w:customStyle="1" w:styleId="24">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622</Words>
  <Characters>3552</Characters>
  <Lines>29</Lines>
  <Paragraphs>8</Paragraphs>
  <TotalTime>229</TotalTime>
  <ScaleCrop>false</ScaleCrop>
  <LinksUpToDate>false</LinksUpToDate>
  <CharactersWithSpaces>4166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2019-07-08T08:31:00Z</dcterms:created>
  <dc:creator>dell</dc:creator>
  <cp:lastModifiedBy>haiyan</cp:lastModifiedBy>
  <cp:lastPrinted>2019-09-02T10:04:00Z</cp:lastPrinted>
  <dcterms:modified xsi:type="dcterms:W3CDTF">2019-09-02T10:56:42Z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