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 xml:space="preserve">证券代码：000988　                                证券简称：华工科技 </w:t>
      </w:r>
    </w:p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华工科技产业股份有限公司</w:t>
      </w:r>
    </w:p>
    <w:p>
      <w:pPr>
        <w:spacing w:beforeLines="50" w:afterLines="50" w:line="400" w:lineRule="exact"/>
        <w:jc w:val="center"/>
        <w:rPr>
          <w:rFonts w:ascii="黑体" w:hAnsi="黑体" w:eastAsia="黑体"/>
          <w:b/>
          <w:bCs/>
          <w:i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rFonts w:asciiTheme="minorEastAsia" w:hAnsiTheme="minorEastAsia" w:eastAsiaTheme="minorEastAsia"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/>
          <w:bCs/>
          <w:iCs/>
          <w:color w:val="000000"/>
          <w:sz w:val="24"/>
        </w:rPr>
        <w:t xml:space="preserve">编号：2019-09                                         日期： 8月30日                                   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特定对象调研       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分析师会议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 xml:space="preserve">        □</w:t>
            </w:r>
            <w:r>
              <w:rPr>
                <w:rFonts w:hint="eastAsia" w:ascii="宋体" w:hAnsi="宋体" w:eastAsia="宋体" w:cs="宋体"/>
                <w:sz w:val="24"/>
              </w:rPr>
              <w:t>媒体采访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>业绩说明会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 xml:space="preserve">        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新闻发布会        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现场参观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 xml:space="preserve">           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国泰君安 陈飞达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国信证券 吴双、汪洋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国盛证券 彭元立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国金证券 丁健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中信建投 雷鸣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中经资本 刘婵娟、李镠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海通证券 余伟民、谢伟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东方财富证券 吴逸诗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东方证券 杨旭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安信证券 冷国强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长江证券 卞曙光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长江资管 罗聪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广发证券 滕春晓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中金公司 黄乐平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康曼德资本 金凯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东兴证券 龙海敏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菁英时代资管 万军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五矿证券 喻言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中诚信托 田园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亘曦资产 蔡麟琳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望正资产 汪程程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西部证券 杜威、林承瑜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东湖资本 藏永贝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天虫资本 胡纪相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泰山保险 张东华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山东文投 王东民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东北证券 熊军、张立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湘财基金 邢毅哲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华泰瑞联基金管理 隆国华、何梓鹏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鼎锋长江投资 杨军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九泰基金 方向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新健坤投资 孙宗胜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天隼投资管理 余璇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唐丰投资 徐长亮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鹏举科技 唐霄鹏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宁波智石资本 刘明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交银施罗德 郭若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个人投资者33人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2019年8月30日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公司四楼会议室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华工科技 董事/副总经理/财务总监/董秘：刘含树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华工激光 总经理：邓家科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华工投资 总经理：张丽华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华工科技 总助/财务负责人：王霞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华工正源 副总经理：李梓文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云岭光电 副总经理：刘立刚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接待过程中，公司接待人员严格按照有关制度规定，没有出现未公开重大信息泄露等情况。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调研活动安排</w:t>
            </w:r>
          </w:p>
        </w:tc>
      </w:tr>
    </w:tbl>
    <w:p>
      <w:pPr>
        <w:spacing w:line="360" w:lineRule="auto"/>
        <w:rPr>
          <w:rFonts w:hint="eastAsia" w:ascii="黑体" w:hAnsi="黑体" w:eastAsia="黑体" w:cs="宋体"/>
          <w:color w:val="000000"/>
          <w:sz w:val="32"/>
          <w:shd w:val="clear" w:color="auto" w:fill="FFFFFF"/>
        </w:rPr>
      </w:pPr>
    </w:p>
    <w:p>
      <w:pPr>
        <w:spacing w:line="360" w:lineRule="auto"/>
        <w:rPr>
          <w:rFonts w:ascii="黑体" w:hAnsi="黑体" w:eastAsia="黑体" w:cs="宋体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sz w:val="32"/>
          <w:shd w:val="clear" w:color="auto" w:fill="FFFFFF"/>
        </w:rPr>
        <w:t>附件</w:t>
      </w:r>
    </w:p>
    <w:p>
      <w:pPr>
        <w:pStyle w:val="2"/>
        <w:spacing w:line="360" w:lineRule="auto"/>
      </w:pPr>
      <w:r>
        <w:rPr>
          <w:rFonts w:hint="eastAsia"/>
        </w:rPr>
        <w:t>　　　</w:t>
      </w:r>
      <w:r>
        <w:rPr>
          <w:rFonts w:hint="eastAsia" w:cs="宋体" w:asciiTheme="minorEastAsia" w:hAnsiTheme="minorEastAsia" w:eastAsiaTheme="minorEastAsia"/>
          <w:b/>
          <w:color w:val="000000"/>
          <w:sz w:val="24"/>
          <w:szCs w:val="16"/>
          <w:shd w:val="clear" w:color="auto" w:fill="FFFFFF"/>
        </w:rPr>
        <w:t>一、</w:t>
      </w:r>
      <w:r>
        <w:rPr>
          <w:rFonts w:hint="eastAsia" w:cs="宋体" w:asciiTheme="minorEastAsia" w:hAnsiTheme="minorEastAsia" w:eastAsiaTheme="minorEastAsia"/>
          <w:b/>
          <w:color w:val="000000"/>
          <w:sz w:val="24"/>
          <w:szCs w:val="16"/>
          <w:shd w:val="clear" w:color="auto" w:fill="FFFFFF"/>
          <w:lang w:val="en-US" w:eastAsia="zh-CN"/>
        </w:rPr>
        <w:t>证券事务代表</w:t>
      </w:r>
      <w:r>
        <w:rPr>
          <w:rFonts w:hint="eastAsia" w:cs="宋体" w:asciiTheme="minorEastAsia" w:hAnsiTheme="minorEastAsia" w:eastAsiaTheme="minorEastAsia"/>
          <w:b/>
          <w:color w:val="000000"/>
          <w:sz w:val="24"/>
          <w:szCs w:val="16"/>
          <w:shd w:val="clear" w:color="auto" w:fill="FFFFFF"/>
        </w:rPr>
        <w:t>姚永川以PPT的形式向大家汇报了华工科技2019年半年度报告披露的公司经营情况。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华工科技2019年确定了“积极发展、有效管控，全面提升经营质量”的管理要求，上半年公司实现营业收入25.54亿元，同比下降6.83%，归属母公司净利润3.31亿元，同比增长83.37%，剔除交易性金融资产影响，扣非后净利润1.59亿元，同比增长11.88%，经营性现金流净额同比增长67.24%，资产负债率32%，逐年下降。公司驶入高质量发展通道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激光先进装备制造业务占到华工科技整体营收的37%，较2018年度占比有所提升；光通信业务占36%，较年报数据有所下降；传感器业务20%，占比提升，激光全息防伪材料业务7%，保持持平。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</w:p>
    <w:p>
      <w:pPr>
        <w:pStyle w:val="2"/>
        <w:spacing w:line="360" w:lineRule="auto"/>
      </w:pPr>
      <w:r>
        <w:rPr>
          <w:rFonts w:hint="eastAsia"/>
        </w:rPr>
        <w:t>　　　</w:t>
      </w:r>
      <w:r>
        <w:rPr>
          <w:rFonts w:hint="eastAsia" w:asciiTheme="minorEastAsia" w:hAnsiTheme="minorEastAsia" w:eastAsiaTheme="minorEastAsia"/>
          <w:b/>
          <w:sz w:val="24"/>
        </w:rPr>
        <w:t>二、互动交流环节</w:t>
      </w:r>
    </w:p>
    <w:p>
      <w:pPr>
        <w:pStyle w:val="2"/>
        <w:spacing w:line="360" w:lineRule="auto"/>
      </w:pPr>
      <w:r>
        <w:rPr>
          <w:rFonts w:hint="eastAsia"/>
        </w:rPr>
        <w:t>　　</w:t>
      </w:r>
      <w:r>
        <w:rPr>
          <w:rFonts w:hint="eastAsia" w:asciiTheme="minorEastAsia" w:hAnsiTheme="minorEastAsia" w:eastAsiaTheme="minorEastAsia"/>
          <w:b/>
          <w:sz w:val="24"/>
        </w:rPr>
        <w:t>提问：1、公司研发费用增长较快，能否分解一下？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答复：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上半年公司研发投入1.43亿元，同比增长54%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这</w:t>
      </w:r>
      <w:r>
        <w:rPr>
          <w:rFonts w:hint="eastAsia" w:asciiTheme="minorEastAsia" w:hAnsiTheme="minorEastAsia" w:eastAsiaTheme="minorEastAsia"/>
          <w:sz w:val="24"/>
        </w:rPr>
        <w:t>与公司的战略是密切相关的</w:t>
      </w:r>
      <w:r>
        <w:rPr>
          <w:rFonts w:hint="eastAsia" w:asciiTheme="minorEastAsia" w:hAnsiTheme="minorEastAsia" w:eastAsia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</w:rPr>
        <w:t>今年上半年延续了去年在技术创新方面的一些动作，各板块之间各有增长。研发费用增幅较大的，一是在光通讯这一块，公司布局应用于5G发展所需要进行的相应的研发；二是能量激光板块中智能装备上半年研发费用增幅也比较大；还有就是激光全息防伪业务方面，在传统的烟草业务以外，公司对非烟业务做了一些相应的研发安排。</w:t>
      </w:r>
    </w:p>
    <w:p>
      <w:pPr>
        <w:spacing w:line="360" w:lineRule="auto"/>
        <w:ind w:firstLine="482" w:firstLineChars="201"/>
        <w:rPr>
          <w:rFonts w:asciiTheme="minorEastAsia" w:hAnsiTheme="minorEastAsia" w:eastAsiaTheme="minorEastAsia"/>
          <w:sz w:val="24"/>
        </w:rPr>
      </w:pPr>
    </w:p>
    <w:p>
      <w:pPr>
        <w:pStyle w:val="2"/>
        <w:spacing w:line="360" w:lineRule="auto"/>
      </w:pPr>
      <w:r>
        <w:rPr>
          <w:rFonts w:hint="eastAsia"/>
        </w:rPr>
        <w:t>　　</w:t>
      </w:r>
      <w:r>
        <w:rPr>
          <w:rFonts w:hint="eastAsia" w:asciiTheme="minorEastAsia" w:hAnsiTheme="minorEastAsia" w:eastAsiaTheme="minorEastAsia"/>
          <w:b/>
          <w:sz w:val="24"/>
        </w:rPr>
        <w:t>提问：2、公司各业务版块未来发展展望</w:t>
      </w:r>
    </w:p>
    <w:p>
      <w:pPr>
        <w:spacing w:line="360" w:lineRule="auto"/>
        <w:ind w:firstLine="482" w:firstLineChars="201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答复：公司顺应市场发展趋势，紧抓行业需求，持续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加</w:t>
      </w:r>
      <w:r>
        <w:rPr>
          <w:rFonts w:hint="eastAsia" w:asciiTheme="minorEastAsia" w:hAnsiTheme="minorEastAsia" w:eastAsiaTheme="minorEastAsia"/>
          <w:sz w:val="24"/>
        </w:rPr>
        <w:t>大研发投入，不断推动公司产品优化升级，完成关键技术与核心产品整体布局，为下一阶段的发展注入新动能。</w:t>
      </w:r>
    </w:p>
    <w:p>
      <w:pPr>
        <w:spacing w:line="360" w:lineRule="auto"/>
        <w:ind w:firstLine="482" w:firstLineChars="201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针对汽车轻量化趋势，开发出国内首套三维五轴激光切割设备，其核心部件，如光源、切割头均国产化，价格仅为进口设备的70%，性能比肩国外同类设备。该产品不仅获得湖北省科学进步奖一等奖，更是形成规模化生产，获得国内最大热成型行业客户的认可，短短50秒就可完成某款汽车B柱的切割。据了解，一条热成型线需要配备4-6台三维五轴激光切割机，仅切割环节就可为用户节约1000万左右的设备投入成本。在智能制造风口下，公司与行业客户深度合作，设计开发智能化工厂样板点。同时，为应对日益成熟的激光细分市场，相继推出全新GF系列经济型激光切割平台、MARVEL12000超高速激光切割平台，受印度等海外新兴市场的强烈欢迎，上半年激光智能装备产品海外销售同比增长60%。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数据中心是支撑网络流量的核心硬件载体，随着网络流量的持续高速增长，数据中心市场规模和单体建设规模也在不断增加。到2021年，超大规模数据中心将占到全部数据中心服务器数量的53%。为紧抓数据中心市场风口，公司相继推出100G、400G数据中心产品，其中，100G SR4/LR4实现批量交付，400G FR4完成送样。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zh-CN"/>
        </w:rPr>
        <w:t>2019年全球经济仍然处于持续下行的趋势之中，特别是贸易战对制造业的压制影响持续显现。在贸易争端加剧和人民币对美元汇率贬值压力加大的情况下，公司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正</w:t>
      </w:r>
      <w:r>
        <w:rPr>
          <w:rFonts w:hint="eastAsia" w:asciiTheme="minorEastAsia" w:hAnsiTheme="minorEastAsia" w:eastAsiaTheme="minorEastAsia"/>
          <w:sz w:val="24"/>
          <w:lang w:val="zh-CN"/>
        </w:rPr>
        <w:t>积极应对中美贸易战、汇率波动、制造成本上升、市场竞争加剧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带来</w:t>
      </w:r>
      <w:r>
        <w:rPr>
          <w:rFonts w:hint="eastAsia" w:asciiTheme="minorEastAsia" w:hAnsiTheme="minorEastAsia" w:eastAsiaTheme="minorEastAsia"/>
          <w:sz w:val="24"/>
          <w:lang w:val="zh-CN"/>
        </w:rPr>
        <w:t>的风险。</w:t>
      </w:r>
    </w:p>
    <w:p>
      <w:pPr>
        <w:spacing w:line="360" w:lineRule="auto"/>
        <w:ind w:firstLine="482" w:firstLineChars="201"/>
        <w:rPr>
          <w:rFonts w:asciiTheme="minorEastAsia" w:hAnsiTheme="minorEastAsia" w:eastAsiaTheme="minorEastAsia"/>
          <w:sz w:val="24"/>
        </w:rPr>
      </w:pPr>
    </w:p>
    <w:p>
      <w:pPr>
        <w:pStyle w:val="2"/>
        <w:spacing w:line="360" w:lineRule="auto"/>
        <w:rPr>
          <w:rFonts w:hint="default" w:eastAsiaTheme="minorEastAsia"/>
          <w:lang w:val="en-US" w:eastAsia="zh-CN"/>
        </w:rPr>
      </w:pPr>
      <w:r>
        <w:rPr>
          <w:rFonts w:hint="eastAsia"/>
        </w:rPr>
        <w:t>　　</w:t>
      </w:r>
      <w:r>
        <w:rPr>
          <w:rFonts w:hint="eastAsia" w:asciiTheme="minorEastAsia" w:hAnsiTheme="minorEastAsia" w:eastAsiaTheme="minorEastAsia"/>
          <w:b/>
          <w:sz w:val="24"/>
        </w:rPr>
        <w:t>提问：3、公司在5G领域的布局，公司的供应是否能够保障？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产能还会否有提升？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答复：今年6月我国5G商用牌照正式发放，也意味着我国正式进入5G商用元年。预计2020至2025年，我国5G商用直接带动的经济总产出达10.6万亿元。华工科技紧抓5G建设的市场契机，有源光模块业务，实现收入增幅22%，净利润增长20%，上半年5G用25G光模块产品已成功导入全球四大设备商，并通过大份额、高质量的交付获得了绝对的市场优势。公司布局前端产业链，发起设立了云岭光电，为供应链提供有效支撑，在中美贸易争端的背景下，我们已经做了比较充分的考虑和安排。</w:t>
      </w:r>
      <w:r>
        <w:rPr>
          <w:rFonts w:hint="eastAsia" w:asciiTheme="minorEastAsia" w:hAnsiTheme="minorEastAsia" w:eastAsiaTheme="minorEastAsia"/>
          <w:sz w:val="24"/>
          <w:lang w:val="zh-CN"/>
        </w:rPr>
        <w:t>2017年公司成功募集资金18亿元，投入能量激光、信息激光、传感器业务，用于打造公司新的利润增长点，5G和数据中心光模块项目已完成新研发中心建设及搬迁，在今年内可实现达产，同时项目围绕数通行业需求投入建设100G、400G光器件封装研发平台，目前加快数据中心项目建设。</w:t>
      </w:r>
    </w:p>
    <w:p>
      <w:pPr>
        <w:spacing w:line="360" w:lineRule="auto"/>
        <w:ind w:firstLine="482" w:firstLineChars="201"/>
        <w:rPr>
          <w:rFonts w:asciiTheme="minorEastAsia" w:hAnsiTheme="minorEastAsia" w:eastAsiaTheme="minorEastAsia"/>
          <w:sz w:val="24"/>
        </w:rPr>
      </w:pPr>
    </w:p>
    <w:p>
      <w:pPr>
        <w:pStyle w:val="2"/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/>
        </w:rPr>
        <w:t>　　</w:t>
      </w:r>
      <w:r>
        <w:rPr>
          <w:rFonts w:hint="eastAsia" w:asciiTheme="minorEastAsia" w:hAnsiTheme="minorEastAsia" w:eastAsiaTheme="minorEastAsia"/>
          <w:b/>
          <w:sz w:val="24"/>
        </w:rPr>
        <w:t>提问：4、能否拆分一下激光先进装备制造业务上半年的经营情况？</w:t>
      </w:r>
    </w:p>
    <w:p>
      <w:pPr>
        <w:spacing w:line="360" w:lineRule="auto"/>
        <w:ind w:firstLine="482" w:firstLineChars="201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答复：智能装备事业群收入4.5亿元，同比增长14%；激光精密事业群收入4.2亿元，同比下降24%。</w:t>
      </w:r>
    </w:p>
    <w:p>
      <w:pPr>
        <w:spacing w:line="360" w:lineRule="auto"/>
        <w:ind w:firstLine="482" w:firstLineChars="201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智能装备方面，受全球汽车市场低迷的影响，公司汽车白车身激光焊接装备销售收入降幅较为明显；激光切割产品销售同比增长27%。上半年，AUTOBOT奥博系列汽车热成型件三维激光切割机装备标准化，大批量进入国内最大行业客户；全新GF系列经济型激光切割平台装备实现批量销售；MARVEL漫威12000系列超高速激光切割平台、LT系列全自动激光切管机、全自动集成料库等系列产品同步拓展国内、国际市场，激光切割装备销售大幅增长。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激光精密方面，受3C消费电子行业周期性下滑、贸易摩擦、同质化竞争加剧的不利影响下，国际大客户订单大幅下滑。为此，公司产品从单机工作站向“激光+自动化”转型，自动化类合同订单同比大幅增长。焊接产品成功进入锡焊应用细分市场，并在氢能源行业市场取得了突破；微加工产品发挥脆性材料的激光加工优势，推出玻璃切割行业专机并形成批量订单，成为新的增长点；切割及PCB产品竞争力得到大幅提升；标记产品通过细分行业挖掘，在无线充电、激光清洗、自动化等行业订单取得突破。</w:t>
      </w:r>
    </w:p>
    <w:p>
      <w:pPr>
        <w:spacing w:line="360" w:lineRule="auto"/>
        <w:ind w:firstLine="482" w:firstLineChars="201"/>
        <w:rPr>
          <w:rFonts w:asciiTheme="minorEastAsia" w:hAnsiTheme="minorEastAsia" w:eastAsiaTheme="minorEastAsia"/>
          <w:sz w:val="24"/>
        </w:rPr>
      </w:pPr>
    </w:p>
    <w:p>
      <w:pPr>
        <w:pStyle w:val="2"/>
        <w:spacing w:line="360" w:lineRule="auto"/>
        <w:ind w:firstLine="482" w:firstLineChars="200"/>
      </w:pPr>
      <w:r>
        <w:rPr>
          <w:rFonts w:hint="eastAsia" w:asciiTheme="minorEastAsia" w:hAnsiTheme="minorEastAsia" w:eastAsiaTheme="minorEastAsia"/>
          <w:b/>
          <w:sz w:val="24"/>
        </w:rPr>
        <w:t>提问：5、激光全息防伪业务毛利下降，是否会影响全年业绩？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  <w:lang w:val="zh-CN"/>
        </w:rPr>
      </w:pPr>
      <w:r>
        <w:rPr>
          <w:rFonts w:hint="eastAsia" w:asciiTheme="minorEastAsia" w:hAnsiTheme="minorEastAsia" w:eastAsiaTheme="minorEastAsia"/>
          <w:sz w:val="24"/>
        </w:rPr>
        <w:t>答复：</w:t>
      </w:r>
      <w:r>
        <w:rPr>
          <w:rFonts w:hint="eastAsia" w:asciiTheme="minorEastAsia" w:hAnsiTheme="minorEastAsia" w:eastAsiaTheme="minorEastAsia"/>
          <w:sz w:val="24"/>
          <w:lang w:val="zh-CN"/>
        </w:rPr>
        <w:t>上半年激光全息防伪业务毛利有所下降，但规模增长比较明显。受经济形势下滑、国家控烟政策的出台与烟草行业竞争加剧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影响</w:t>
      </w:r>
      <w:r>
        <w:rPr>
          <w:rFonts w:hint="eastAsia" w:asciiTheme="minorEastAsia" w:hAnsiTheme="minorEastAsia" w:eastAsiaTheme="minorEastAsia"/>
          <w:sz w:val="24"/>
          <w:lang w:val="zh-CN"/>
        </w:rPr>
        <w:t>，激光全息防伪产品的市场价格出现明显下滑。公司积极向非烟市场转型，成功抢占国内名酒、医药、日化、证卡等快消品市场先机。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但</w:t>
      </w:r>
      <w:r>
        <w:rPr>
          <w:rFonts w:hint="eastAsia" w:asciiTheme="minorEastAsia" w:hAnsiTheme="minorEastAsia" w:eastAsiaTheme="minorEastAsia"/>
          <w:sz w:val="24"/>
          <w:lang w:val="zh-CN"/>
        </w:rPr>
        <w:t>非烟行业产品毛利率相对偏低，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在规模快速上量的情况下，</w:t>
      </w:r>
      <w:r>
        <w:rPr>
          <w:rFonts w:hint="eastAsia" w:asciiTheme="minorEastAsia" w:hAnsiTheme="minorEastAsia" w:eastAsiaTheme="minorEastAsia"/>
          <w:sz w:val="24"/>
          <w:lang w:val="zh-CN"/>
        </w:rPr>
        <w:t>导致产品综合毛利率水平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下降</w:t>
      </w:r>
      <w:r>
        <w:rPr>
          <w:rFonts w:hint="eastAsia" w:asciiTheme="minorEastAsia" w:hAnsiTheme="minorEastAsia" w:eastAsiaTheme="minorEastAsia"/>
          <w:sz w:val="24"/>
          <w:lang w:val="zh-CN"/>
        </w:rPr>
        <w:t>。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zh-CN"/>
        </w:rPr>
        <w:t>下半年，随着精密刻蚀、大幅加密、DID技术产品、水转印及</w:t>
      </w:r>
      <w:r>
        <w:rPr>
          <w:rFonts w:hint="default" w:asciiTheme="minorEastAsia" w:hAnsiTheme="minorEastAsia" w:eastAsiaTheme="minorEastAsia"/>
          <w:sz w:val="24"/>
          <w:lang w:val="zh-CN"/>
        </w:rPr>
        <w:t>“</w:t>
      </w:r>
      <w:r>
        <w:rPr>
          <w:rFonts w:hint="eastAsia" w:asciiTheme="minorEastAsia" w:hAnsiTheme="minorEastAsia" w:eastAsiaTheme="minorEastAsia"/>
          <w:sz w:val="24"/>
          <w:lang w:val="zh-CN"/>
        </w:rPr>
        <w:t>专版+定位</w:t>
      </w:r>
      <w:r>
        <w:rPr>
          <w:rFonts w:hint="default" w:asciiTheme="minorEastAsia" w:hAnsiTheme="minorEastAsia" w:eastAsiaTheme="minorEastAsia"/>
          <w:sz w:val="24"/>
          <w:lang w:val="zh-CN"/>
        </w:rPr>
        <w:t>”</w:t>
      </w:r>
      <w:r>
        <w:rPr>
          <w:rFonts w:hint="eastAsia" w:asciiTheme="minorEastAsia" w:hAnsiTheme="minorEastAsia" w:eastAsiaTheme="minorEastAsia"/>
          <w:sz w:val="24"/>
          <w:lang w:val="zh-CN"/>
        </w:rPr>
        <w:t>转移纸等多款高端防伪技术产品的陆续推出，将有利于提升产品综合毛利率水平。</w:t>
      </w:r>
    </w:p>
    <w:p>
      <w:pPr>
        <w:spacing w:line="360" w:lineRule="auto"/>
        <w:ind w:firstLine="482" w:firstLineChars="201"/>
        <w:rPr>
          <w:rFonts w:asciiTheme="minorEastAsia" w:hAnsiTheme="minorEastAsia" w:eastAsiaTheme="minorEastAsia"/>
          <w:sz w:val="24"/>
        </w:rPr>
      </w:pPr>
    </w:p>
    <w:p>
      <w:pPr>
        <w:pStyle w:val="2"/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　　提问：6、公司今年的经营管理策略是什么？</w:t>
      </w:r>
    </w:p>
    <w:p>
      <w:pPr>
        <w:spacing w:line="360" w:lineRule="auto"/>
        <w:ind w:firstLine="482" w:firstLineChars="201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答复：华工科技秉持“重利润大于重规模”的经营思路，将效益放在发展首位，采取多种管控措施，降低成本、提升效率，助推公司驶入高质量发展通道。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今年以来，华工科技持续推进阳光采购、价值采购，打造共赢发展价值链，通过采购标准化、集约化、专业化，不仅提升了交付质量，还有效地降低了采购成本。同时，通过推进精益生产，强化过程控制，有效降低了成本,提高了工作效率和产品质量。旗下华工正源全面导入精益生产以来，产能大幅提升，制造周期缩短至4天以内，直通率平均水平高于98%，快速适应了客户需求的不断变化。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</w:p>
    <w:p>
      <w:pPr>
        <w:pStyle w:val="2"/>
        <w:spacing w:line="360" w:lineRule="auto"/>
        <w:ind w:firstLine="482" w:firstLineChars="200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提问：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/>
          <w:sz w:val="24"/>
        </w:rPr>
        <w:t>、公司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校企改革的进展如何</w:t>
      </w:r>
      <w:r>
        <w:rPr>
          <w:rFonts w:hint="eastAsia" w:asciiTheme="minorEastAsia" w:hAnsiTheme="minorEastAsia" w:eastAsiaTheme="minorEastAsia"/>
          <w:b/>
          <w:sz w:val="24"/>
        </w:rPr>
        <w:t>？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子公司是否会考虑分拆上市？</w:t>
      </w:r>
      <w:r>
        <w:rPr>
          <w:rFonts w:hint="eastAsia" w:asciiTheme="minorEastAsia" w:hAnsiTheme="minorEastAsia" w:eastAsiaTheme="minorEastAsia"/>
          <w:b/>
          <w:sz w:val="24"/>
        </w:rPr>
        <w:t>公司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大股东是否会继续减持</w:t>
      </w:r>
      <w:r>
        <w:rPr>
          <w:rFonts w:hint="eastAsia" w:asciiTheme="minorEastAsia" w:hAnsiTheme="minorEastAsia" w:eastAsiaTheme="minorEastAsia"/>
          <w:b/>
          <w:sz w:val="24"/>
        </w:rPr>
        <w:t>？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  <w:lang w:val="zh-CN"/>
        </w:rPr>
      </w:pPr>
      <w:r>
        <w:rPr>
          <w:rFonts w:hint="eastAsia" w:asciiTheme="minorEastAsia" w:hAnsiTheme="minorEastAsia" w:eastAsiaTheme="minorEastAsia"/>
          <w:sz w:val="24"/>
        </w:rPr>
        <w:t>答复：</w:t>
      </w:r>
      <w:r>
        <w:rPr>
          <w:rFonts w:hint="eastAsia" w:asciiTheme="minorEastAsia" w:hAnsiTheme="minorEastAsia" w:eastAsiaTheme="minorEastAsia"/>
          <w:sz w:val="24"/>
          <w:lang w:val="zh-CN"/>
        </w:rPr>
        <w:t>高校体制改革由国家教育部牵头推进，涉及全国23所试点高校。该项工作推动主要依据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国务院42号令</w:t>
      </w:r>
      <w:r>
        <w:rPr>
          <w:rFonts w:hint="eastAsia" w:asciiTheme="minorEastAsia" w:hAnsiTheme="minorEastAsia" w:eastAsiaTheme="minorEastAsia"/>
          <w:sz w:val="24"/>
          <w:lang w:val="zh-CN"/>
        </w:rPr>
        <w:t>等政策文件，试点期限至2020年10月底。公司实际控制人华中科技大学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不是</w:t>
      </w:r>
      <w:r>
        <w:rPr>
          <w:rFonts w:hint="eastAsia" w:asciiTheme="minorEastAsia" w:hAnsiTheme="minorEastAsia" w:eastAsiaTheme="minorEastAsia"/>
          <w:sz w:val="24"/>
          <w:lang w:val="zh-CN"/>
        </w:rPr>
        <w:t>试点高校，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但符合政策规定的改革范围，相关工作如有进展</w:t>
      </w:r>
      <w:r>
        <w:rPr>
          <w:rFonts w:hint="eastAsia" w:asciiTheme="minorEastAsia" w:hAnsiTheme="minorEastAsia" w:eastAsiaTheme="minorEastAsia"/>
          <w:sz w:val="24"/>
          <w:lang w:val="zh-CN"/>
        </w:rPr>
        <w:t>情况公司将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及时</w:t>
      </w:r>
      <w:r>
        <w:rPr>
          <w:rFonts w:hint="eastAsia" w:asciiTheme="minorEastAsia" w:hAnsiTheme="minorEastAsia" w:eastAsiaTheme="minorEastAsia"/>
          <w:sz w:val="24"/>
          <w:lang w:val="zh-CN"/>
        </w:rPr>
        <w:t>进行披露。</w:t>
      </w:r>
    </w:p>
    <w:p>
      <w:pPr>
        <w:spacing w:line="360" w:lineRule="auto"/>
        <w:ind w:firstLine="482" w:firstLineChars="201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关于分拆上市，公司也关注到近期证监会下发了关于分拆上市的征求意见稿，公司会积极消化相关政策，在符合政策的条件下，会重点考虑产业链协同发展的影响，做相应的准备。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控股股东与中小股东同样享有依法减持的权利</w:t>
      </w:r>
      <w:r>
        <w:rPr>
          <w:rFonts w:hint="eastAsia" w:asciiTheme="minorEastAsia" w:hAnsiTheme="minorEastAsia" w:eastAsia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但</w:t>
      </w:r>
      <w:r>
        <w:rPr>
          <w:rFonts w:hint="eastAsia" w:asciiTheme="minorEastAsia" w:hAnsiTheme="minorEastAsia" w:eastAsiaTheme="minorEastAsia"/>
          <w:sz w:val="24"/>
        </w:rPr>
        <w:t>控股股东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需根据证监会“减持新规”事前发布减持计划，如果华工科技</w:t>
      </w:r>
      <w:r>
        <w:rPr>
          <w:rFonts w:hint="eastAsia" w:asciiTheme="minorEastAsia" w:hAnsiTheme="minorEastAsia" w:eastAsiaTheme="minorEastAsia"/>
          <w:sz w:val="24"/>
        </w:rPr>
        <w:t>收到大股东《减持告知函》，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会及时履行信披义务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</w:rPr>
      </w:pP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</w:rPr>
      </w:pP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709C9"/>
    <w:multiLevelType w:val="singleLevel"/>
    <w:tmpl w:val="9D7709C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494ACAB"/>
    <w:multiLevelType w:val="singleLevel"/>
    <w:tmpl w:val="C494AC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52B1"/>
    <w:rsid w:val="003A126B"/>
    <w:rsid w:val="004A7BFF"/>
    <w:rsid w:val="00B02108"/>
    <w:rsid w:val="00C9279A"/>
    <w:rsid w:val="00E31FC0"/>
    <w:rsid w:val="013A165A"/>
    <w:rsid w:val="08EF2A33"/>
    <w:rsid w:val="0B573446"/>
    <w:rsid w:val="12854EB9"/>
    <w:rsid w:val="1FA01A18"/>
    <w:rsid w:val="2C3C43A1"/>
    <w:rsid w:val="43057FCD"/>
    <w:rsid w:val="4E361EA6"/>
    <w:rsid w:val="56C36BF8"/>
    <w:rsid w:val="6A965E7E"/>
    <w:rsid w:val="71D66148"/>
    <w:rsid w:val="72E4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3364</Words>
  <Characters>3557</Characters>
  <Lines>25</Lines>
  <Paragraphs>7</Paragraphs>
  <TotalTime>25</TotalTime>
  <ScaleCrop>false</ScaleCrop>
  <LinksUpToDate>false</LinksUpToDate>
  <CharactersWithSpaces>3793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2019-09-02T09:25:00Z</dcterms:created>
  <dc:creator>Sissi</dc:creator>
  <cp:lastModifiedBy>Sissi</cp:lastModifiedBy>
  <cp:lastPrinted>2019-09-02T10:58:00Z</cp:lastPrinted>
  <dcterms:modified xsi:type="dcterms:W3CDTF">2019-09-02T12:14:33Z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