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8A" w:rsidRDefault="00A746F2" w:rsidP="001E1A19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 000157/1157                           证券简称：中联重科</w:t>
      </w:r>
    </w:p>
    <w:p w:rsidR="004C008A" w:rsidRDefault="00A746F2" w:rsidP="001E1A19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中联重科股份有限公司投资者关系活动记录表</w:t>
      </w:r>
    </w:p>
    <w:p w:rsidR="004C008A" w:rsidRDefault="00A746F2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4F6D4C">
        <w:rPr>
          <w:rFonts w:ascii="宋体" w:hAnsi="宋体" w:hint="eastAsia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-00</w:t>
      </w:r>
      <w:r w:rsidR="004F6D4C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6662"/>
      </w:tblGrid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4C008A" w:rsidRDefault="004C00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C008A" w:rsidRDefault="00A746F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 xml:space="preserve">    □</w:t>
            </w:r>
            <w:r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pStyle w:val="HTML"/>
              <w:wordWrap w:val="0"/>
              <w:spacing w:line="360" w:lineRule="auto"/>
              <w:rPr>
                <w:bCs/>
                <w:iCs/>
                <w:color w:val="000000"/>
              </w:rPr>
            </w:pPr>
            <w:r>
              <w:rPr>
                <w:rFonts w:hint="eastAsia"/>
                <w:color w:val="000000"/>
              </w:rPr>
              <w:t>A+H 两地市场投资机构及分析师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长沙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 w:rsidP="004F6D4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公司副总裁杜毅刚女士、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助理总裁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王永祥先生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、董事会秘书杨笃志先生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4C008A" w:rsidRDefault="004C00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Pr="00431B24" w:rsidRDefault="00A746F2" w:rsidP="00431B24">
            <w:pPr>
              <w:spacing w:line="480" w:lineRule="atLeast"/>
              <w:jc w:val="left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经营业绩概述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：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一、</w:t>
            </w:r>
            <w:r w:rsidRPr="00380D7E">
              <w:rPr>
                <w:rFonts w:ascii="宋体" w:hAnsi="宋体"/>
                <w:bCs/>
                <w:iCs/>
                <w:color w:val="000000"/>
                <w:sz w:val="24"/>
              </w:rPr>
              <w:t>公司收入与利润情况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1、公司上半年实现营业收入222.6亿元，较上年同期增幅51%。上半年销售收入的增长，主要来自于工程机械板块的增长，工程机械板块收入</w:t>
            </w:r>
            <w:r w:rsidRPr="00380D7E">
              <w:rPr>
                <w:rFonts w:ascii="宋体" w:hAnsi="宋体"/>
                <w:bCs/>
                <w:iCs/>
                <w:color w:val="000000"/>
                <w:sz w:val="24"/>
              </w:rPr>
              <w:t>210.16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亿元，同比增长</w:t>
            </w:r>
            <w:r w:rsidRPr="00380D7E">
              <w:rPr>
                <w:rFonts w:ascii="宋体" w:hAnsi="宋体"/>
                <w:bCs/>
                <w:iCs/>
                <w:color w:val="000000"/>
                <w:sz w:val="24"/>
              </w:rPr>
              <w:t>54.62%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；农业机械营业收入9亿元，与上年同期基本持平。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工程机械营业收入的增长，主要由于公司的工程起重机、建筑起重机、泵车等4.0产品实现市场70%以上的覆盖，有效地提升了产品的竞争力，总体取得了好于行业水平的表现。</w:t>
            </w:r>
          </w:p>
          <w:p w:rsid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农业机械行业整体下行，特别是拖拉机、收获机产品下行幅度较大，公司通过调整产品策略，以其他产品的增长弥补了拖拉机的下跌，其他产品增幅达102%，主要是旋耕机、打捆机、甘蔗机、</w:t>
            </w:r>
            <w:proofErr w:type="gramStart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植保机</w:t>
            </w:r>
            <w:proofErr w:type="gramEnd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  <w:r w:rsidR="00460044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2、公司上半年毛利率30.0%，较上年同期提高4.4个百分点。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主要有以下几个方面的原因：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一是建筑起重机的市场地位、智能化生产线产品的高稳定性保障了产品的定价权；二是智能化的4.0产品提高了产品的附加值；三是产品结构进一步优化，高毛利产品结构占比进一步提升；四是秉承“产品极致、成本极致”的管理理念，持续优化设计成本、采购成本、制造成本，通过成本管理消化销售价格竞争，公司预计未来毛利将稳定在较高水平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3、公司上半年发生销售费用、管理费用合计26.9亿元，较上年同期增加6.7亿元、增幅33.2%，低于营业收入，此两项费用率较上年同期下降1.65个百分点。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一直致力于提高企业运行效率，通过业务模式、组织架构、信息化建设等保证公司的高效运转，在工程机械板块收入恢复并超过历史高峰时，员工人数不到高峰期的一半，有效地提升了公司的经营效率和盈利能力，管理费用同比基本持平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上半年销售费用的增长，主要是公司加大服务体系、备件供应系统、销售</w:t>
            </w:r>
            <w:proofErr w:type="gramStart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风控力量</w:t>
            </w:r>
            <w:proofErr w:type="gramEnd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的投入。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4、公司上半年发生研发费用4.6亿元，较上年同期的2.0亿元增加2.6亿元、增幅134%。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加大研发人员的引进，坚持研发平台效益与销售产品毛利挂钩，促进研发人员、研发成果与市场直接衔接。公司在以下几方面进行了重点投入，第一方面，公司在泵车、起重机上持续提升4.0产品升级开发，保持并进一步提升产品竞争力；第二方面，在土方、高空机械、农业机械上，开发一系列先进水平的新产品，为后续的持续增长做好产品准备；第三方面，公司加大智能制造投入以提升产品质量水平，如数字化调试系统开发、新型焊接技术研究与应用、国六升级、单发技术、机器人应用等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5、财务费用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公司上半年发生财务费用6.15亿元，较上年同期</w:t>
            </w:r>
            <w:r w:rsidR="00431B24">
              <w:rPr>
                <w:rFonts w:ascii="宋体" w:hAnsi="宋体" w:hint="eastAsia"/>
                <w:bCs/>
                <w:iCs/>
                <w:color w:val="000000"/>
                <w:sz w:val="24"/>
              </w:rPr>
              <w:t>略降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，财务费用率降低至2.76%、降低1.5个百分点。同时，由于会计准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则的要求，理财产品的收益计入投资收益1.45亿元、计入公允价值变动收益3.15亿元，今年上半年实际的财务费用为1.55亿元，较上年同期、同口径的3.92亿元减少2.37亿元，降低约60%。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6月末带息负债较上年末增加5亿，目的是为了提前备付今年10月将要到期的</w:t>
            </w:r>
            <w:proofErr w:type="gramStart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90亿中期</w:t>
            </w:r>
            <w:proofErr w:type="gramEnd"/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票据，虽然增加了带息负债，但是由于公司加强资金管理，减少资金沉淀、提高资金收益，导致上半年利息收入增加，同时公司主动加强外汇管理，提高外汇资产与外汇负债的对冲比例，有效降低汇兑损失。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6、净利润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上半年实现归属于上市公司股东净利润25.8亿元同比增长198%；上半年净利润率11.57%，较上年同期增长5.70个百分点。上半年净利润及净利润率的提升，主要由于销售规模增长的同时，产品结构优化、产品价格保持相对竞争力、产品成本持续降低、各项费用得到有效管理、资产质量更优、资金周转加快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二、公司现金流与现金情况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上半年实现经营性净现金流35.8亿，较上年同期增加近20亿，主要得益于以下几个方面，一是公司的产品产销两旺，根据客户来款先后安排订单产出与交付，促进了生产资金的加速收回；二是公司坚持执行严格的信用政策，销售收款增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且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高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于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销售规模增长；三是公司对于按揭、融资、分期、全款结算方式分别给予不同的价格政策，客户可以根据自身现金流的节奏分别选用不同的结算方式；四是公司对供应链体系进行全面梳理，与供方建立战略联盟关系，加大集中采购，以获得优惠的采购成本与结算政策；同时公司各项费用的降低也对现金流有一定的贡献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三、公司重要资产情况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1、公司在手现金充沛，为生产经营、技术改造、资本管理准</w:t>
            </w: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备的资金得当；同时优质的经营性净现金流，保障了公司现金存量的持续稳定增长。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2、本报告期应收账款的增长远低于销售规模的增长，较上年同期缩短85天。说明公司所获得的销售规模是严格信用政策控制下有效、有质量的销售规模。公司对于信用销售，在客户筛选过程中，严格执行首付比率不能突破，从源头降低违约风险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3、存货：上半年一直产销两旺，在制品和产成品保持相对稳定，存货增加主要是原材料，为保障产出以满足市场需求，公司加大了关键原材料和零部件的备货，下半年将逐渐消耗此部分原材料。</w:t>
            </w:r>
          </w:p>
          <w:p w:rsidR="00380D7E" w:rsidRP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最近12个月的存货周转天数较上年同期的缩短37天；优于同行业的周转水平。</w:t>
            </w:r>
          </w:p>
          <w:p w:rsidR="00380D7E" w:rsidRDefault="00380D7E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80D7E">
              <w:rPr>
                <w:rFonts w:ascii="宋体" w:hAnsi="宋体" w:hint="eastAsia"/>
                <w:bCs/>
                <w:iCs/>
                <w:color w:val="000000"/>
                <w:sz w:val="24"/>
              </w:rPr>
              <w:t>以上为上半年财务业绩情况的简要说明，谢谢。</w:t>
            </w:r>
          </w:p>
          <w:p w:rsidR="00431B24" w:rsidRDefault="00431B24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431B24" w:rsidRPr="00380D7E" w:rsidRDefault="00431B24" w:rsidP="00380D7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四、公司经营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行业展望情况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三季度，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工程机械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行业仍将保持同比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较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好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的增幅，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但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增速较二季度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环比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有所回落。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proofErr w:type="gramStart"/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随行业规律</w:t>
            </w:r>
            <w:proofErr w:type="gramEnd"/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而波动且好于行业。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工程机械行业2019年下半年仍将保持较高的增长水平</w:t>
            </w:r>
            <w:r w:rsidR="00343546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（1）混凝土机械行业同比增长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较好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，其中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中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长臂架的增速会高于短臂架产品；混凝土机械存量大，替代还远未完成，公司内部测算，完成国三存量设备的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切换仍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需要2-3年的时间，因此预判行业未来2-3年仍延续一个较高增速，但增速较2019年会有一定程度的回落。（2）从2016年开始，起重机械的行业明显增长，预计2019年行业规模将达到380亿元，市场的需求景气度预计会持续2-3年，由于大型基建项目的启动，对大吨位和履带起重机的需求会比较大；（3）建筑起重产品2019年下半年将延续上半年的增长，塔机的增长主要来自大吨位，相当于一个新增的市场，主要受益于装配式建筑等拉动，将保持3-5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年的景气度。</w:t>
            </w:r>
          </w:p>
          <w:p w:rsidR="00431B24" w:rsidRPr="006171DC" w:rsidRDefault="00431B24" w:rsidP="00431B24">
            <w:pPr>
              <w:rPr>
                <w:rFonts w:ascii="PingFang SC" w:eastAsia="PingFang SC" w:hAnsi="PingFang SC" w:cs="宋体"/>
                <w:color w:val="393939"/>
                <w:kern w:val="0"/>
                <w:szCs w:val="21"/>
              </w:rPr>
            </w:pPr>
          </w:p>
          <w:p w:rsidR="004C008A" w:rsidRPr="001E1A19" w:rsidRDefault="00A746F2">
            <w:pPr>
              <w:spacing w:line="480" w:lineRule="atLeast"/>
              <w:jc w:val="left"/>
              <w:rPr>
                <w:rFonts w:ascii="宋体" w:hAnsi="宋体"/>
                <w:b/>
                <w:iCs/>
                <w:color w:val="000000"/>
                <w:sz w:val="24"/>
              </w:rPr>
            </w:pPr>
            <w:r w:rsidRPr="001E1A19">
              <w:rPr>
                <w:rFonts w:ascii="宋体" w:hAnsi="宋体"/>
                <w:b/>
                <w:iCs/>
                <w:color w:val="000000"/>
                <w:sz w:val="24"/>
              </w:rPr>
              <w:t>Q&amp;A</w:t>
            </w:r>
            <w:r w:rsidRPr="001E1A19">
              <w:rPr>
                <w:rFonts w:ascii="宋体" w:hAnsi="宋体" w:hint="eastAsia"/>
                <w:b/>
                <w:iCs/>
                <w:color w:val="000000"/>
                <w:sz w:val="24"/>
              </w:rPr>
              <w:t>问答环节</w:t>
            </w:r>
            <w:r w:rsidRPr="001E1A19">
              <w:rPr>
                <w:rFonts w:ascii="宋体" w:hAnsi="宋体"/>
                <w:b/>
                <w:iCs/>
                <w:color w:val="000000"/>
                <w:sz w:val="24"/>
              </w:rPr>
              <w:t>：</w:t>
            </w:r>
          </w:p>
          <w:p w:rsidR="00762F14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1、行业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复苏的持续性如何看待？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行业四季度相较于三季度基本持平或略有增长。公司预判自己三季度甚至下半年工程机械板块收入同比</w:t>
            </w:r>
            <w:r w:rsid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维持较高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增长</w:t>
            </w:r>
            <w:r w:rsid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排放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标准国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五升级国六，对汽车底盘道路机械的具体影响？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两方面影响：（1）对企业的压力，体现在对国五存货产品的消化，但公司在环保切换的应对上很有经验；（2）国六升级更多的是利好，因为拉动了对行业的需求，此前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四万亿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投资主要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拉动国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三的设备，因此国三是工程机械中的存量占比最高的，国六的升级会加大对国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三设备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淘汰的力度。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公司对塔机2019年全年增长的预期？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塔机是一个典型强者恒强的行业，公司的领先地位今年进一步体现。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根据协会统计，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2012年塔机企业有300多家，现在只剩下70多家。公司塔机业务高速的增长部分得益于行业集中度的提升，预计今年塔机的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市占率将</w:t>
            </w:r>
            <w:proofErr w:type="gramEnd"/>
            <w:r w:rsid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超过40%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公司增长最多的是大塔。大塔基本是从0到1的增量市场，应用在大型重点工程，对品牌、安全性的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考量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更多，塔机板块毛利率的改善也主要得益于此。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看好塔机板块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。首先塔机行业的上下半年的差异没有其他工程机械品类这么大，其次公司2019年塔机前低后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高主要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由于今年供需紧张导致上半年产能没有完全释放，所以下半年的实际交付会更多。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塔机产品的周期位置，以及使用寿命？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塔机是典型的后周期的产品，因此后劲最足。产品的理论使用寿命是10年，不过终端客户一般只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租使用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5年内的塔机，所以从客户角度来看塔机的使用寿命5-6年。从销售模式上来看，下游客户只有接了工程后才会找企业采购，不会提前下单。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汽车起重机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市场份额变化比较大，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公司提升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原因？对行业明年的看法？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公司市</w:t>
            </w:r>
            <w:proofErr w:type="gramStart"/>
            <w:r w:rsid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占率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提升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很快的核心原因是产品力的提升。而公司产品力的提升主要又是因为在国五升国六的大背景下，公司前几年就开始加大在新产品方面的布局，技术迭代是在加速，且研发人员的绩效考核与产品毛利率挂钩，研发更加贴近市场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混凝土泵车下半年有什么样的策略，希望提升到什么水平？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上半年公司各个产品的产能都偏紧，重点资源做4桥的产品，所以台数略降。7-8月份产能紧张问题基本缓解，下半年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市占率应该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会恢复到正常水平。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公司混凝土产品竞争力体现在长臂架产品，会在推新的产品时及时切换到国六。且工程机械产品普遍存在超重问题，轻量化会成为未来产品核心的竞争因素。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7、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在未来混凝土机械和起重机市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占率提升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有限的背景下，公司长期发展战略？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公司三个核心产品市场份额都在前二的水平，未来</w:t>
            </w:r>
            <w:proofErr w:type="gramStart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市占率的</w:t>
            </w:r>
            <w:proofErr w:type="gramEnd"/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提升会有天花板。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塔机：公司竞争优势非常突出，市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占率有望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进一步提升。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汽车起重机：战略目标是三分天下。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混凝土机械：战略目标是两分天下，和竞争对手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市占率维持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差不多的水平。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除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这核心三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大产品外，企业积极发展新产品如高空作业平台和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土方机械。明年高空作业平台有信心进入第一梯队。土方机械在积极的布局中，内部产能和外部口碑都在改善。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整体来说，公司一定会坚持高质量发展的战略，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追求规模、利润、现金流和风险控制等多维度平衡，持续关注业务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的质量。</w:t>
            </w:r>
          </w:p>
          <w:p w:rsidR="00762F14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8、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海外拓展的战略、重点领域？</w:t>
            </w:r>
          </w:p>
          <w:p w:rsidR="006171DC" w:rsidRPr="006171DC" w:rsidRDefault="00762F14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两大战略：（1）加速海外基地的本地化布局，如意大利的CIFA以前只做混凝土机械产品，现在拓展到了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全系列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工程机械产品</w:t>
            </w:r>
            <w:r w:rsidR="006171DC"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。（2）对海外优质企业的收购，吸收消化先进技术。</w:t>
            </w:r>
          </w:p>
          <w:p w:rsidR="006171DC" w:rsidRPr="006171DC" w:rsidRDefault="006171DC" w:rsidP="006171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重点领域：一带一路的出口，主要在东南亚、中东、俄语区等。公司在6月份做了管理上的变革，此前国内出口由海外子公司统一销售，现在变成按照产品线进行拆分，按产品线自身统筹，能够更好的满足不同国家的使用标准、法规。2019年基本上</w:t>
            </w:r>
            <w:proofErr w:type="gramStart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全面回归</w:t>
            </w:r>
            <w:proofErr w:type="gramEnd"/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到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事业部下的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产供销一体化模式，海外</w:t>
            </w:r>
            <w:r w:rsidR="00762F14">
              <w:rPr>
                <w:rFonts w:ascii="宋体" w:hAnsi="宋体" w:hint="eastAsia"/>
                <w:bCs/>
                <w:iCs/>
                <w:color w:val="000000"/>
                <w:sz w:val="24"/>
              </w:rPr>
              <w:t>将延续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这一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模式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，以后资源对海外</w:t>
            </w:r>
            <w:r w:rsidR="005E66D6">
              <w:rPr>
                <w:rFonts w:ascii="宋体" w:hAnsi="宋体" w:hint="eastAsia"/>
                <w:bCs/>
                <w:iCs/>
                <w:color w:val="000000"/>
                <w:sz w:val="24"/>
              </w:rPr>
              <w:t>业务</w:t>
            </w:r>
            <w:r w:rsidRPr="006171DC">
              <w:rPr>
                <w:rFonts w:ascii="宋体" w:hAnsi="宋体" w:hint="eastAsia"/>
                <w:bCs/>
                <w:iCs/>
                <w:color w:val="000000"/>
                <w:sz w:val="24"/>
              </w:rPr>
              <w:t>有所倾斜。</w:t>
            </w:r>
          </w:p>
          <w:p w:rsidR="00451049" w:rsidRPr="006171DC" w:rsidRDefault="00451049" w:rsidP="00762F14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="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4C008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8A" w:rsidRDefault="00A746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4F6D4C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4C008A" w:rsidRDefault="004C008A"/>
    <w:sectPr w:rsidR="004C008A" w:rsidSect="004C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E5" w:rsidRDefault="001E30E5" w:rsidP="000110E8">
      <w:r>
        <w:separator/>
      </w:r>
    </w:p>
  </w:endnote>
  <w:endnote w:type="continuationSeparator" w:id="0">
    <w:p w:rsidR="001E30E5" w:rsidRDefault="001E30E5" w:rsidP="0001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 STKaiti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E5" w:rsidRDefault="001E30E5" w:rsidP="000110E8">
      <w:r>
        <w:separator/>
      </w:r>
    </w:p>
  </w:footnote>
  <w:footnote w:type="continuationSeparator" w:id="0">
    <w:p w:rsidR="001E30E5" w:rsidRDefault="001E30E5" w:rsidP="00011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BEC54"/>
    <w:multiLevelType w:val="singleLevel"/>
    <w:tmpl w:val="9DDBEC54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BCBD90D0"/>
    <w:multiLevelType w:val="singleLevel"/>
    <w:tmpl w:val="BCBD90D0"/>
    <w:lvl w:ilvl="0">
      <w:start w:val="1"/>
      <w:numFmt w:val="decimal"/>
      <w:suff w:val="nothing"/>
      <w:lvlText w:val="%1）"/>
      <w:lvlJc w:val="left"/>
    </w:lvl>
  </w:abstractNum>
  <w:abstractNum w:abstractNumId="2">
    <w:nsid w:val="DA135DE1"/>
    <w:multiLevelType w:val="singleLevel"/>
    <w:tmpl w:val="DA135DE1"/>
    <w:lvl w:ilvl="0">
      <w:start w:val="1"/>
      <w:numFmt w:val="decimal"/>
      <w:suff w:val="nothing"/>
      <w:lvlText w:val="%1）"/>
      <w:lvlJc w:val="left"/>
    </w:lvl>
  </w:abstractNum>
  <w:abstractNum w:abstractNumId="3">
    <w:nsid w:val="0CD442A3"/>
    <w:multiLevelType w:val="multilevel"/>
    <w:tmpl w:val="692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D2BB9"/>
    <w:multiLevelType w:val="multilevel"/>
    <w:tmpl w:val="33D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212D97"/>
    <w:multiLevelType w:val="singleLevel"/>
    <w:tmpl w:val="10212D97"/>
    <w:lvl w:ilvl="0">
      <w:start w:val="1"/>
      <w:numFmt w:val="decimal"/>
      <w:suff w:val="nothing"/>
      <w:lvlText w:val="%1）"/>
      <w:lvlJc w:val="left"/>
    </w:lvl>
  </w:abstractNum>
  <w:abstractNum w:abstractNumId="6">
    <w:nsid w:val="119940B9"/>
    <w:multiLevelType w:val="multilevel"/>
    <w:tmpl w:val="905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A85F17"/>
    <w:multiLevelType w:val="singleLevel"/>
    <w:tmpl w:val="17A85F17"/>
    <w:lvl w:ilvl="0">
      <w:start w:val="1"/>
      <w:numFmt w:val="decimal"/>
      <w:suff w:val="nothing"/>
      <w:lvlText w:val="%1）"/>
      <w:lvlJc w:val="left"/>
    </w:lvl>
  </w:abstractNum>
  <w:abstractNum w:abstractNumId="8">
    <w:nsid w:val="2A343F04"/>
    <w:multiLevelType w:val="multilevel"/>
    <w:tmpl w:val="7DDC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9D4721"/>
    <w:multiLevelType w:val="multilevel"/>
    <w:tmpl w:val="2F9D4721"/>
    <w:lvl w:ilvl="0">
      <w:start w:val="1"/>
      <w:numFmt w:val="koreanDigital2"/>
      <w:pStyle w:val="1"/>
      <w:lvlText w:val="第%1章"/>
      <w:lvlJc w:val="left"/>
      <w:pPr>
        <w:tabs>
          <w:tab w:val="left" w:pos="1008"/>
        </w:tabs>
        <w:ind w:left="1008" w:hanging="1008"/>
      </w:pPr>
      <w:rPr>
        <w:rFonts w:cs="Times New Roman" w:hint="eastAsia"/>
      </w:rPr>
    </w:lvl>
    <w:lvl w:ilvl="1">
      <w:start w:val="1"/>
      <w:numFmt w:val="bullet"/>
      <w:lvlRestart w:val="0"/>
      <w:lvlText w:val="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000000"/>
        <w:u w:val="none"/>
      </w:rPr>
    </w:lvl>
    <w:lvl w:ilvl="2">
      <w:start w:val="1"/>
      <w:numFmt w:val="bullet"/>
      <w:lvlRestart w:val="0"/>
      <w:lvlText w:val="—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30380B4F"/>
    <w:multiLevelType w:val="multilevel"/>
    <w:tmpl w:val="E95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3431A2"/>
    <w:multiLevelType w:val="multilevel"/>
    <w:tmpl w:val="7F4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CD40AF"/>
    <w:multiLevelType w:val="singleLevel"/>
    <w:tmpl w:val="46CD40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A5438BB"/>
    <w:multiLevelType w:val="multilevel"/>
    <w:tmpl w:val="4E8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C233EB"/>
    <w:multiLevelType w:val="multilevel"/>
    <w:tmpl w:val="013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853E69"/>
    <w:multiLevelType w:val="multilevel"/>
    <w:tmpl w:val="EAF8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11395E"/>
    <w:multiLevelType w:val="singleLevel"/>
    <w:tmpl w:val="641139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77EE2550"/>
    <w:multiLevelType w:val="multilevel"/>
    <w:tmpl w:val="6F0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A830AB"/>
    <w:multiLevelType w:val="multilevel"/>
    <w:tmpl w:val="AEB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4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A3"/>
    <w:rsid w:val="00001543"/>
    <w:rsid w:val="000048AB"/>
    <w:rsid w:val="000110E8"/>
    <w:rsid w:val="00013632"/>
    <w:rsid w:val="00013B72"/>
    <w:rsid w:val="00013E5B"/>
    <w:rsid w:val="0001767A"/>
    <w:rsid w:val="00021083"/>
    <w:rsid w:val="000217D7"/>
    <w:rsid w:val="0002318C"/>
    <w:rsid w:val="00025533"/>
    <w:rsid w:val="00030BEF"/>
    <w:rsid w:val="00030FBC"/>
    <w:rsid w:val="0003350B"/>
    <w:rsid w:val="0003550F"/>
    <w:rsid w:val="00037BCD"/>
    <w:rsid w:val="00040BDD"/>
    <w:rsid w:val="0004712F"/>
    <w:rsid w:val="00047AEE"/>
    <w:rsid w:val="00053BFC"/>
    <w:rsid w:val="00056722"/>
    <w:rsid w:val="000576CE"/>
    <w:rsid w:val="000577E2"/>
    <w:rsid w:val="00060127"/>
    <w:rsid w:val="0006270D"/>
    <w:rsid w:val="00073293"/>
    <w:rsid w:val="000761D6"/>
    <w:rsid w:val="0007730A"/>
    <w:rsid w:val="00081BA9"/>
    <w:rsid w:val="00081EE0"/>
    <w:rsid w:val="00083574"/>
    <w:rsid w:val="0008464C"/>
    <w:rsid w:val="00085A36"/>
    <w:rsid w:val="0008679A"/>
    <w:rsid w:val="00091CC5"/>
    <w:rsid w:val="00093ECD"/>
    <w:rsid w:val="000964F5"/>
    <w:rsid w:val="000A798F"/>
    <w:rsid w:val="000B190E"/>
    <w:rsid w:val="000C0326"/>
    <w:rsid w:val="000C052F"/>
    <w:rsid w:val="000D21D4"/>
    <w:rsid w:val="000D28D0"/>
    <w:rsid w:val="000D4C1A"/>
    <w:rsid w:val="000D55E7"/>
    <w:rsid w:val="000D5B0A"/>
    <w:rsid w:val="000D69A5"/>
    <w:rsid w:val="000E0EEF"/>
    <w:rsid w:val="000E2938"/>
    <w:rsid w:val="000E29A3"/>
    <w:rsid w:val="000E3484"/>
    <w:rsid w:val="000E718D"/>
    <w:rsid w:val="000F2EAD"/>
    <w:rsid w:val="000F3B00"/>
    <w:rsid w:val="000F567D"/>
    <w:rsid w:val="000F6C50"/>
    <w:rsid w:val="00100663"/>
    <w:rsid w:val="0010167D"/>
    <w:rsid w:val="001039D1"/>
    <w:rsid w:val="00107278"/>
    <w:rsid w:val="00112A2A"/>
    <w:rsid w:val="00112AE2"/>
    <w:rsid w:val="00113115"/>
    <w:rsid w:val="00113478"/>
    <w:rsid w:val="00113DA8"/>
    <w:rsid w:val="00121DA9"/>
    <w:rsid w:val="00124F89"/>
    <w:rsid w:val="00125762"/>
    <w:rsid w:val="00127D8C"/>
    <w:rsid w:val="0013100A"/>
    <w:rsid w:val="00131B95"/>
    <w:rsid w:val="00131BF4"/>
    <w:rsid w:val="001358EC"/>
    <w:rsid w:val="00135AFD"/>
    <w:rsid w:val="0013637F"/>
    <w:rsid w:val="001405DD"/>
    <w:rsid w:val="00141816"/>
    <w:rsid w:val="00143C7F"/>
    <w:rsid w:val="00143ECC"/>
    <w:rsid w:val="0014591B"/>
    <w:rsid w:val="00145D4A"/>
    <w:rsid w:val="00146C52"/>
    <w:rsid w:val="00147953"/>
    <w:rsid w:val="00147DDF"/>
    <w:rsid w:val="00154B71"/>
    <w:rsid w:val="001562B6"/>
    <w:rsid w:val="0016027D"/>
    <w:rsid w:val="00161343"/>
    <w:rsid w:val="00162BAE"/>
    <w:rsid w:val="00162D5D"/>
    <w:rsid w:val="001637B3"/>
    <w:rsid w:val="00172A07"/>
    <w:rsid w:val="00174114"/>
    <w:rsid w:val="00177959"/>
    <w:rsid w:val="001779B2"/>
    <w:rsid w:val="001828D9"/>
    <w:rsid w:val="00183798"/>
    <w:rsid w:val="00184FFE"/>
    <w:rsid w:val="00186C7F"/>
    <w:rsid w:val="001A01F8"/>
    <w:rsid w:val="001A208D"/>
    <w:rsid w:val="001A2CCB"/>
    <w:rsid w:val="001A541E"/>
    <w:rsid w:val="001A5A90"/>
    <w:rsid w:val="001A7E66"/>
    <w:rsid w:val="001A7F54"/>
    <w:rsid w:val="001B1E7F"/>
    <w:rsid w:val="001B4129"/>
    <w:rsid w:val="001B4734"/>
    <w:rsid w:val="001C0A1B"/>
    <w:rsid w:val="001C2116"/>
    <w:rsid w:val="001C2CE0"/>
    <w:rsid w:val="001C3912"/>
    <w:rsid w:val="001C3F85"/>
    <w:rsid w:val="001C638C"/>
    <w:rsid w:val="001C6497"/>
    <w:rsid w:val="001D3ADE"/>
    <w:rsid w:val="001D4A28"/>
    <w:rsid w:val="001E1A19"/>
    <w:rsid w:val="001E2217"/>
    <w:rsid w:val="001E30E5"/>
    <w:rsid w:val="001E3285"/>
    <w:rsid w:val="001E46FF"/>
    <w:rsid w:val="001F21E6"/>
    <w:rsid w:val="001F4468"/>
    <w:rsid w:val="001F4FF4"/>
    <w:rsid w:val="001F5924"/>
    <w:rsid w:val="002001AA"/>
    <w:rsid w:val="00202F35"/>
    <w:rsid w:val="00204C48"/>
    <w:rsid w:val="00205348"/>
    <w:rsid w:val="00205568"/>
    <w:rsid w:val="00206884"/>
    <w:rsid w:val="00212B4E"/>
    <w:rsid w:val="002137A2"/>
    <w:rsid w:val="0021406A"/>
    <w:rsid w:val="00216F31"/>
    <w:rsid w:val="002176F6"/>
    <w:rsid w:val="00222ECC"/>
    <w:rsid w:val="00222F38"/>
    <w:rsid w:val="0022417A"/>
    <w:rsid w:val="0022525C"/>
    <w:rsid w:val="0022580C"/>
    <w:rsid w:val="0022692F"/>
    <w:rsid w:val="00226CF3"/>
    <w:rsid w:val="002309F8"/>
    <w:rsid w:val="00230AD2"/>
    <w:rsid w:val="00245462"/>
    <w:rsid w:val="00247044"/>
    <w:rsid w:val="00250228"/>
    <w:rsid w:val="002518F9"/>
    <w:rsid w:val="00253F5D"/>
    <w:rsid w:val="00253F7E"/>
    <w:rsid w:val="002543EC"/>
    <w:rsid w:val="0025640D"/>
    <w:rsid w:val="002615E5"/>
    <w:rsid w:val="00263D5D"/>
    <w:rsid w:val="002650D2"/>
    <w:rsid w:val="002652CB"/>
    <w:rsid w:val="00265779"/>
    <w:rsid w:val="00270494"/>
    <w:rsid w:val="00272C7B"/>
    <w:rsid w:val="00272E75"/>
    <w:rsid w:val="0027541C"/>
    <w:rsid w:val="00275F9E"/>
    <w:rsid w:val="00280105"/>
    <w:rsid w:val="002803A8"/>
    <w:rsid w:val="00281E71"/>
    <w:rsid w:val="00285225"/>
    <w:rsid w:val="00285443"/>
    <w:rsid w:val="002933B2"/>
    <w:rsid w:val="00293C1F"/>
    <w:rsid w:val="00293E99"/>
    <w:rsid w:val="0029434D"/>
    <w:rsid w:val="00296512"/>
    <w:rsid w:val="00296BFB"/>
    <w:rsid w:val="00297294"/>
    <w:rsid w:val="002A00E3"/>
    <w:rsid w:val="002A21BD"/>
    <w:rsid w:val="002B1FBD"/>
    <w:rsid w:val="002B2C01"/>
    <w:rsid w:val="002B3E1F"/>
    <w:rsid w:val="002B6287"/>
    <w:rsid w:val="002B63FD"/>
    <w:rsid w:val="002C0726"/>
    <w:rsid w:val="002C1149"/>
    <w:rsid w:val="002D01CF"/>
    <w:rsid w:val="002D078D"/>
    <w:rsid w:val="002D48DD"/>
    <w:rsid w:val="002D6E40"/>
    <w:rsid w:val="002E1C64"/>
    <w:rsid w:val="002E2B4A"/>
    <w:rsid w:val="002E468C"/>
    <w:rsid w:val="002F333C"/>
    <w:rsid w:val="002F482E"/>
    <w:rsid w:val="002F5D6D"/>
    <w:rsid w:val="002F6F38"/>
    <w:rsid w:val="002F78FF"/>
    <w:rsid w:val="003001DD"/>
    <w:rsid w:val="003077BB"/>
    <w:rsid w:val="0031179F"/>
    <w:rsid w:val="00312BF4"/>
    <w:rsid w:val="0031425B"/>
    <w:rsid w:val="00315A4C"/>
    <w:rsid w:val="0032156E"/>
    <w:rsid w:val="00323859"/>
    <w:rsid w:val="003321D4"/>
    <w:rsid w:val="00334ADF"/>
    <w:rsid w:val="00334D2E"/>
    <w:rsid w:val="00336766"/>
    <w:rsid w:val="003374C3"/>
    <w:rsid w:val="003422A2"/>
    <w:rsid w:val="0034312A"/>
    <w:rsid w:val="00343546"/>
    <w:rsid w:val="003458DB"/>
    <w:rsid w:val="00346BDD"/>
    <w:rsid w:val="00346BE8"/>
    <w:rsid w:val="00353546"/>
    <w:rsid w:val="00365067"/>
    <w:rsid w:val="00365D13"/>
    <w:rsid w:val="003707E5"/>
    <w:rsid w:val="00374661"/>
    <w:rsid w:val="003749FC"/>
    <w:rsid w:val="00374E0B"/>
    <w:rsid w:val="00380D7E"/>
    <w:rsid w:val="00382135"/>
    <w:rsid w:val="003827D0"/>
    <w:rsid w:val="0038339F"/>
    <w:rsid w:val="00383BDA"/>
    <w:rsid w:val="00386102"/>
    <w:rsid w:val="00387B55"/>
    <w:rsid w:val="00390362"/>
    <w:rsid w:val="0039739F"/>
    <w:rsid w:val="003A06A7"/>
    <w:rsid w:val="003A1313"/>
    <w:rsid w:val="003A2B75"/>
    <w:rsid w:val="003A5A87"/>
    <w:rsid w:val="003B5441"/>
    <w:rsid w:val="003C0454"/>
    <w:rsid w:val="003D12D5"/>
    <w:rsid w:val="003D2192"/>
    <w:rsid w:val="003E0F84"/>
    <w:rsid w:val="003E11A7"/>
    <w:rsid w:val="003E6E73"/>
    <w:rsid w:val="003E7601"/>
    <w:rsid w:val="003E79D5"/>
    <w:rsid w:val="003F0D66"/>
    <w:rsid w:val="003F3ED0"/>
    <w:rsid w:val="003F3EEC"/>
    <w:rsid w:val="003F6799"/>
    <w:rsid w:val="003F73D0"/>
    <w:rsid w:val="00401C19"/>
    <w:rsid w:val="00403B3F"/>
    <w:rsid w:val="00404DDD"/>
    <w:rsid w:val="00406351"/>
    <w:rsid w:val="00410AD0"/>
    <w:rsid w:val="00417031"/>
    <w:rsid w:val="00417390"/>
    <w:rsid w:val="00417EF6"/>
    <w:rsid w:val="00422D01"/>
    <w:rsid w:val="0042449C"/>
    <w:rsid w:val="00424F0F"/>
    <w:rsid w:val="004256B1"/>
    <w:rsid w:val="00426F09"/>
    <w:rsid w:val="004277F1"/>
    <w:rsid w:val="00431B24"/>
    <w:rsid w:val="00431D60"/>
    <w:rsid w:val="0043289C"/>
    <w:rsid w:val="004403DF"/>
    <w:rsid w:val="00441FF4"/>
    <w:rsid w:val="00442292"/>
    <w:rsid w:val="00444D44"/>
    <w:rsid w:val="00451049"/>
    <w:rsid w:val="00451D38"/>
    <w:rsid w:val="00454B53"/>
    <w:rsid w:val="00457E27"/>
    <w:rsid w:val="00460044"/>
    <w:rsid w:val="004612F8"/>
    <w:rsid w:val="004616E8"/>
    <w:rsid w:val="004677F8"/>
    <w:rsid w:val="00470CA4"/>
    <w:rsid w:val="00473DB8"/>
    <w:rsid w:val="0047752F"/>
    <w:rsid w:val="004812E2"/>
    <w:rsid w:val="00483B52"/>
    <w:rsid w:val="004906E9"/>
    <w:rsid w:val="00491920"/>
    <w:rsid w:val="0049333B"/>
    <w:rsid w:val="004963E7"/>
    <w:rsid w:val="00497DD3"/>
    <w:rsid w:val="004A025F"/>
    <w:rsid w:val="004A1883"/>
    <w:rsid w:val="004A2F88"/>
    <w:rsid w:val="004B12B6"/>
    <w:rsid w:val="004B374E"/>
    <w:rsid w:val="004B3F02"/>
    <w:rsid w:val="004B3F14"/>
    <w:rsid w:val="004B7A52"/>
    <w:rsid w:val="004C008A"/>
    <w:rsid w:val="004C4FF4"/>
    <w:rsid w:val="004C6A3C"/>
    <w:rsid w:val="004D6CB3"/>
    <w:rsid w:val="004E1760"/>
    <w:rsid w:val="004E564E"/>
    <w:rsid w:val="004E6FB0"/>
    <w:rsid w:val="004E7573"/>
    <w:rsid w:val="004F10DB"/>
    <w:rsid w:val="004F2B77"/>
    <w:rsid w:val="004F3A8E"/>
    <w:rsid w:val="004F4A10"/>
    <w:rsid w:val="004F4E77"/>
    <w:rsid w:val="004F5E88"/>
    <w:rsid w:val="004F6CB6"/>
    <w:rsid w:val="004F6D4C"/>
    <w:rsid w:val="004F78EE"/>
    <w:rsid w:val="004F79DF"/>
    <w:rsid w:val="005029EC"/>
    <w:rsid w:val="005038B3"/>
    <w:rsid w:val="005059A5"/>
    <w:rsid w:val="00506C71"/>
    <w:rsid w:val="0050784C"/>
    <w:rsid w:val="00507C7A"/>
    <w:rsid w:val="005108CD"/>
    <w:rsid w:val="00510C1F"/>
    <w:rsid w:val="00511204"/>
    <w:rsid w:val="00514107"/>
    <w:rsid w:val="005154CB"/>
    <w:rsid w:val="00526128"/>
    <w:rsid w:val="00530A3C"/>
    <w:rsid w:val="00530A78"/>
    <w:rsid w:val="00535540"/>
    <w:rsid w:val="005372AB"/>
    <w:rsid w:val="00540232"/>
    <w:rsid w:val="00543463"/>
    <w:rsid w:val="00543D6D"/>
    <w:rsid w:val="00545B61"/>
    <w:rsid w:val="00546B34"/>
    <w:rsid w:val="00550755"/>
    <w:rsid w:val="00551EB4"/>
    <w:rsid w:val="00554CEB"/>
    <w:rsid w:val="00562B52"/>
    <w:rsid w:val="00563CB2"/>
    <w:rsid w:val="0056681F"/>
    <w:rsid w:val="0056788D"/>
    <w:rsid w:val="00567EC8"/>
    <w:rsid w:val="0057194A"/>
    <w:rsid w:val="00577002"/>
    <w:rsid w:val="00580C02"/>
    <w:rsid w:val="00581B11"/>
    <w:rsid w:val="00581E67"/>
    <w:rsid w:val="0058339C"/>
    <w:rsid w:val="005846AF"/>
    <w:rsid w:val="005857FF"/>
    <w:rsid w:val="00593658"/>
    <w:rsid w:val="00594618"/>
    <w:rsid w:val="00595AE2"/>
    <w:rsid w:val="0059728F"/>
    <w:rsid w:val="00597B55"/>
    <w:rsid w:val="005A1892"/>
    <w:rsid w:val="005A20C9"/>
    <w:rsid w:val="005A385E"/>
    <w:rsid w:val="005B475F"/>
    <w:rsid w:val="005B5E2F"/>
    <w:rsid w:val="005B6E70"/>
    <w:rsid w:val="005C0E3A"/>
    <w:rsid w:val="005C3FB2"/>
    <w:rsid w:val="005C77BC"/>
    <w:rsid w:val="005C7BA2"/>
    <w:rsid w:val="005C7F50"/>
    <w:rsid w:val="005D1209"/>
    <w:rsid w:val="005D4285"/>
    <w:rsid w:val="005D666B"/>
    <w:rsid w:val="005D6790"/>
    <w:rsid w:val="005E1A1D"/>
    <w:rsid w:val="005E66D6"/>
    <w:rsid w:val="005E7B48"/>
    <w:rsid w:val="005F68FA"/>
    <w:rsid w:val="005F7BB4"/>
    <w:rsid w:val="00601D87"/>
    <w:rsid w:val="00613DBC"/>
    <w:rsid w:val="00614ADA"/>
    <w:rsid w:val="00614BA3"/>
    <w:rsid w:val="006158C2"/>
    <w:rsid w:val="006171DC"/>
    <w:rsid w:val="00620CC0"/>
    <w:rsid w:val="006213A1"/>
    <w:rsid w:val="0062495B"/>
    <w:rsid w:val="006306DF"/>
    <w:rsid w:val="00634018"/>
    <w:rsid w:val="00636C98"/>
    <w:rsid w:val="00642EEB"/>
    <w:rsid w:val="0065274A"/>
    <w:rsid w:val="006533E6"/>
    <w:rsid w:val="006551F0"/>
    <w:rsid w:val="006605C5"/>
    <w:rsid w:val="00664EB7"/>
    <w:rsid w:val="00665221"/>
    <w:rsid w:val="00675B5A"/>
    <w:rsid w:val="006775F5"/>
    <w:rsid w:val="00680E7B"/>
    <w:rsid w:val="0068119E"/>
    <w:rsid w:val="00684D5A"/>
    <w:rsid w:val="00685CF4"/>
    <w:rsid w:val="00687A7C"/>
    <w:rsid w:val="00687FB7"/>
    <w:rsid w:val="00687FED"/>
    <w:rsid w:val="00690FFD"/>
    <w:rsid w:val="006926C7"/>
    <w:rsid w:val="006A04E1"/>
    <w:rsid w:val="006A052A"/>
    <w:rsid w:val="006B0A49"/>
    <w:rsid w:val="006B2288"/>
    <w:rsid w:val="006B2E95"/>
    <w:rsid w:val="006B3696"/>
    <w:rsid w:val="006B58B8"/>
    <w:rsid w:val="006B7962"/>
    <w:rsid w:val="006C2FE3"/>
    <w:rsid w:val="006C3725"/>
    <w:rsid w:val="006D01E5"/>
    <w:rsid w:val="006D5B7E"/>
    <w:rsid w:val="006D5F56"/>
    <w:rsid w:val="006D6024"/>
    <w:rsid w:val="006E04AE"/>
    <w:rsid w:val="006E25F6"/>
    <w:rsid w:val="006E2C39"/>
    <w:rsid w:val="006E4A92"/>
    <w:rsid w:val="006E74BC"/>
    <w:rsid w:val="006E7685"/>
    <w:rsid w:val="006F3F17"/>
    <w:rsid w:val="006F67E8"/>
    <w:rsid w:val="00700AD1"/>
    <w:rsid w:val="00701834"/>
    <w:rsid w:val="00701DF8"/>
    <w:rsid w:val="00703910"/>
    <w:rsid w:val="00704D07"/>
    <w:rsid w:val="00710723"/>
    <w:rsid w:val="0071118F"/>
    <w:rsid w:val="00713DA1"/>
    <w:rsid w:val="00715A07"/>
    <w:rsid w:val="00715F1B"/>
    <w:rsid w:val="007167B7"/>
    <w:rsid w:val="00716D0A"/>
    <w:rsid w:val="0071782C"/>
    <w:rsid w:val="00720C0E"/>
    <w:rsid w:val="0072290C"/>
    <w:rsid w:val="007235A3"/>
    <w:rsid w:val="007355E4"/>
    <w:rsid w:val="007366CC"/>
    <w:rsid w:val="00742F42"/>
    <w:rsid w:val="00743E54"/>
    <w:rsid w:val="00750137"/>
    <w:rsid w:val="00751090"/>
    <w:rsid w:val="00754706"/>
    <w:rsid w:val="00760062"/>
    <w:rsid w:val="00760EB4"/>
    <w:rsid w:val="007614EC"/>
    <w:rsid w:val="00762A39"/>
    <w:rsid w:val="00762ED4"/>
    <w:rsid w:val="00762F14"/>
    <w:rsid w:val="007653E6"/>
    <w:rsid w:val="00767149"/>
    <w:rsid w:val="007708C3"/>
    <w:rsid w:val="00775404"/>
    <w:rsid w:val="00775BE8"/>
    <w:rsid w:val="007775D0"/>
    <w:rsid w:val="007777F6"/>
    <w:rsid w:val="007808A8"/>
    <w:rsid w:val="00783064"/>
    <w:rsid w:val="00791114"/>
    <w:rsid w:val="00796E61"/>
    <w:rsid w:val="007A2822"/>
    <w:rsid w:val="007A44C0"/>
    <w:rsid w:val="007A4AB3"/>
    <w:rsid w:val="007A51BC"/>
    <w:rsid w:val="007A7411"/>
    <w:rsid w:val="007B6947"/>
    <w:rsid w:val="007C67F6"/>
    <w:rsid w:val="007D20B4"/>
    <w:rsid w:val="007D2250"/>
    <w:rsid w:val="007D455C"/>
    <w:rsid w:val="007D608B"/>
    <w:rsid w:val="007D60E4"/>
    <w:rsid w:val="007D69F8"/>
    <w:rsid w:val="007E10D8"/>
    <w:rsid w:val="007E34B1"/>
    <w:rsid w:val="007E3A35"/>
    <w:rsid w:val="007E7322"/>
    <w:rsid w:val="007E7599"/>
    <w:rsid w:val="007F0C81"/>
    <w:rsid w:val="007F24FC"/>
    <w:rsid w:val="007F4371"/>
    <w:rsid w:val="008073BD"/>
    <w:rsid w:val="008100D4"/>
    <w:rsid w:val="00811C92"/>
    <w:rsid w:val="0081330E"/>
    <w:rsid w:val="00813815"/>
    <w:rsid w:val="0081526A"/>
    <w:rsid w:val="00815B99"/>
    <w:rsid w:val="0082114D"/>
    <w:rsid w:val="00823F70"/>
    <w:rsid w:val="00824FEE"/>
    <w:rsid w:val="008314AD"/>
    <w:rsid w:val="00831767"/>
    <w:rsid w:val="0083424C"/>
    <w:rsid w:val="00837F2F"/>
    <w:rsid w:val="00843667"/>
    <w:rsid w:val="00844235"/>
    <w:rsid w:val="008445EA"/>
    <w:rsid w:val="00846BD9"/>
    <w:rsid w:val="00847672"/>
    <w:rsid w:val="00850348"/>
    <w:rsid w:val="00855EBE"/>
    <w:rsid w:val="00856AD2"/>
    <w:rsid w:val="00862100"/>
    <w:rsid w:val="00862F69"/>
    <w:rsid w:val="00864A72"/>
    <w:rsid w:val="00866F15"/>
    <w:rsid w:val="00871066"/>
    <w:rsid w:val="00872321"/>
    <w:rsid w:val="00874538"/>
    <w:rsid w:val="008749B9"/>
    <w:rsid w:val="00883E05"/>
    <w:rsid w:val="008845A3"/>
    <w:rsid w:val="0088463B"/>
    <w:rsid w:val="008864BC"/>
    <w:rsid w:val="0088734C"/>
    <w:rsid w:val="00890565"/>
    <w:rsid w:val="00890BE5"/>
    <w:rsid w:val="00891F7E"/>
    <w:rsid w:val="00893939"/>
    <w:rsid w:val="00894373"/>
    <w:rsid w:val="00896AF9"/>
    <w:rsid w:val="008A1241"/>
    <w:rsid w:val="008A51DA"/>
    <w:rsid w:val="008B0117"/>
    <w:rsid w:val="008B064E"/>
    <w:rsid w:val="008B2CE4"/>
    <w:rsid w:val="008B3489"/>
    <w:rsid w:val="008B4A75"/>
    <w:rsid w:val="008B52D9"/>
    <w:rsid w:val="008B6E74"/>
    <w:rsid w:val="008B712E"/>
    <w:rsid w:val="008B7275"/>
    <w:rsid w:val="008B7332"/>
    <w:rsid w:val="008C1104"/>
    <w:rsid w:val="008C267E"/>
    <w:rsid w:val="008C6244"/>
    <w:rsid w:val="008D1BEE"/>
    <w:rsid w:val="008D56FE"/>
    <w:rsid w:val="008D60FD"/>
    <w:rsid w:val="008D6F78"/>
    <w:rsid w:val="008D78A3"/>
    <w:rsid w:val="008E217E"/>
    <w:rsid w:val="008E3D5F"/>
    <w:rsid w:val="008E45D0"/>
    <w:rsid w:val="008E5B3C"/>
    <w:rsid w:val="008F06A6"/>
    <w:rsid w:val="008F2799"/>
    <w:rsid w:val="008F579F"/>
    <w:rsid w:val="008F5F95"/>
    <w:rsid w:val="008F7507"/>
    <w:rsid w:val="00903F18"/>
    <w:rsid w:val="00907718"/>
    <w:rsid w:val="009159F8"/>
    <w:rsid w:val="00917519"/>
    <w:rsid w:val="009179EB"/>
    <w:rsid w:val="00921810"/>
    <w:rsid w:val="00921AAF"/>
    <w:rsid w:val="00921BD3"/>
    <w:rsid w:val="0092632F"/>
    <w:rsid w:val="00926695"/>
    <w:rsid w:val="009273DA"/>
    <w:rsid w:val="00927F7A"/>
    <w:rsid w:val="00931925"/>
    <w:rsid w:val="00934B7B"/>
    <w:rsid w:val="009378D6"/>
    <w:rsid w:val="009424C6"/>
    <w:rsid w:val="00943C69"/>
    <w:rsid w:val="00944372"/>
    <w:rsid w:val="009462D8"/>
    <w:rsid w:val="00946E4C"/>
    <w:rsid w:val="00947121"/>
    <w:rsid w:val="00947265"/>
    <w:rsid w:val="00953500"/>
    <w:rsid w:val="00953F52"/>
    <w:rsid w:val="00954FB7"/>
    <w:rsid w:val="00955675"/>
    <w:rsid w:val="009562D7"/>
    <w:rsid w:val="00956E9C"/>
    <w:rsid w:val="00957F60"/>
    <w:rsid w:val="009620FF"/>
    <w:rsid w:val="00965F00"/>
    <w:rsid w:val="0096779A"/>
    <w:rsid w:val="00967A6A"/>
    <w:rsid w:val="00970192"/>
    <w:rsid w:val="00972D23"/>
    <w:rsid w:val="009740EC"/>
    <w:rsid w:val="00980BE2"/>
    <w:rsid w:val="009813FB"/>
    <w:rsid w:val="00981B52"/>
    <w:rsid w:val="00982B7B"/>
    <w:rsid w:val="0098337F"/>
    <w:rsid w:val="009836FC"/>
    <w:rsid w:val="00984A73"/>
    <w:rsid w:val="00990A2B"/>
    <w:rsid w:val="009913D3"/>
    <w:rsid w:val="009922DF"/>
    <w:rsid w:val="00996395"/>
    <w:rsid w:val="009A1444"/>
    <w:rsid w:val="009A2D1D"/>
    <w:rsid w:val="009A3ECA"/>
    <w:rsid w:val="009A51F4"/>
    <w:rsid w:val="009A5E4E"/>
    <w:rsid w:val="009B233C"/>
    <w:rsid w:val="009B2662"/>
    <w:rsid w:val="009B615A"/>
    <w:rsid w:val="009B686D"/>
    <w:rsid w:val="009B6964"/>
    <w:rsid w:val="009B79DE"/>
    <w:rsid w:val="009C036C"/>
    <w:rsid w:val="009C15B6"/>
    <w:rsid w:val="009C2BDC"/>
    <w:rsid w:val="009C3F25"/>
    <w:rsid w:val="009D051B"/>
    <w:rsid w:val="009D16C9"/>
    <w:rsid w:val="009D6503"/>
    <w:rsid w:val="009E1B98"/>
    <w:rsid w:val="009E2818"/>
    <w:rsid w:val="009F05E4"/>
    <w:rsid w:val="009F0B68"/>
    <w:rsid w:val="009F117B"/>
    <w:rsid w:val="009F1604"/>
    <w:rsid w:val="009F2B2B"/>
    <w:rsid w:val="009F3DF2"/>
    <w:rsid w:val="009F4FCA"/>
    <w:rsid w:val="00A001D7"/>
    <w:rsid w:val="00A03C09"/>
    <w:rsid w:val="00A04E82"/>
    <w:rsid w:val="00A05630"/>
    <w:rsid w:val="00A069C7"/>
    <w:rsid w:val="00A10304"/>
    <w:rsid w:val="00A13F7F"/>
    <w:rsid w:val="00A2234F"/>
    <w:rsid w:val="00A22D21"/>
    <w:rsid w:val="00A31FB1"/>
    <w:rsid w:val="00A412D0"/>
    <w:rsid w:val="00A446A3"/>
    <w:rsid w:val="00A50A1D"/>
    <w:rsid w:val="00A520E9"/>
    <w:rsid w:val="00A52B68"/>
    <w:rsid w:val="00A626A1"/>
    <w:rsid w:val="00A62B25"/>
    <w:rsid w:val="00A63668"/>
    <w:rsid w:val="00A636CC"/>
    <w:rsid w:val="00A6398D"/>
    <w:rsid w:val="00A6543F"/>
    <w:rsid w:val="00A65945"/>
    <w:rsid w:val="00A706AC"/>
    <w:rsid w:val="00A72BB5"/>
    <w:rsid w:val="00A746F2"/>
    <w:rsid w:val="00A75697"/>
    <w:rsid w:val="00A772E5"/>
    <w:rsid w:val="00A8111E"/>
    <w:rsid w:val="00A85C9F"/>
    <w:rsid w:val="00A86129"/>
    <w:rsid w:val="00A8662F"/>
    <w:rsid w:val="00A92DC8"/>
    <w:rsid w:val="00A93BE6"/>
    <w:rsid w:val="00A967E9"/>
    <w:rsid w:val="00AA1C78"/>
    <w:rsid w:val="00AA490C"/>
    <w:rsid w:val="00AA6000"/>
    <w:rsid w:val="00AA62D9"/>
    <w:rsid w:val="00AA6A68"/>
    <w:rsid w:val="00AB0C7D"/>
    <w:rsid w:val="00AB38BE"/>
    <w:rsid w:val="00AB44E0"/>
    <w:rsid w:val="00AB4BAE"/>
    <w:rsid w:val="00AC2132"/>
    <w:rsid w:val="00AC78C5"/>
    <w:rsid w:val="00AC7AFC"/>
    <w:rsid w:val="00AD054C"/>
    <w:rsid w:val="00AD137A"/>
    <w:rsid w:val="00AD328E"/>
    <w:rsid w:val="00AD531D"/>
    <w:rsid w:val="00AD5BDF"/>
    <w:rsid w:val="00AD7271"/>
    <w:rsid w:val="00AE6003"/>
    <w:rsid w:val="00AE7F6A"/>
    <w:rsid w:val="00AF215A"/>
    <w:rsid w:val="00AF22AE"/>
    <w:rsid w:val="00AF556C"/>
    <w:rsid w:val="00AF5D15"/>
    <w:rsid w:val="00AF6F1F"/>
    <w:rsid w:val="00B00F3B"/>
    <w:rsid w:val="00B043DE"/>
    <w:rsid w:val="00B044E3"/>
    <w:rsid w:val="00B05BE1"/>
    <w:rsid w:val="00B12EE9"/>
    <w:rsid w:val="00B137E1"/>
    <w:rsid w:val="00B139CD"/>
    <w:rsid w:val="00B14E66"/>
    <w:rsid w:val="00B14FD8"/>
    <w:rsid w:val="00B16052"/>
    <w:rsid w:val="00B17C65"/>
    <w:rsid w:val="00B2133A"/>
    <w:rsid w:val="00B21C4C"/>
    <w:rsid w:val="00B253EF"/>
    <w:rsid w:val="00B25B0E"/>
    <w:rsid w:val="00B25E96"/>
    <w:rsid w:val="00B26016"/>
    <w:rsid w:val="00B30D2A"/>
    <w:rsid w:val="00B33B67"/>
    <w:rsid w:val="00B37B08"/>
    <w:rsid w:val="00B4030D"/>
    <w:rsid w:val="00B53110"/>
    <w:rsid w:val="00B5542B"/>
    <w:rsid w:val="00B60624"/>
    <w:rsid w:val="00B610B5"/>
    <w:rsid w:val="00B61C62"/>
    <w:rsid w:val="00B637F8"/>
    <w:rsid w:val="00B65CC0"/>
    <w:rsid w:val="00B65CD5"/>
    <w:rsid w:val="00B664B7"/>
    <w:rsid w:val="00B70948"/>
    <w:rsid w:val="00B71985"/>
    <w:rsid w:val="00B72C75"/>
    <w:rsid w:val="00B75CB9"/>
    <w:rsid w:val="00B8248D"/>
    <w:rsid w:val="00B83D69"/>
    <w:rsid w:val="00B92B8A"/>
    <w:rsid w:val="00B95041"/>
    <w:rsid w:val="00B96431"/>
    <w:rsid w:val="00BA3FEF"/>
    <w:rsid w:val="00BA4440"/>
    <w:rsid w:val="00BA47BA"/>
    <w:rsid w:val="00BA6446"/>
    <w:rsid w:val="00BB0DCE"/>
    <w:rsid w:val="00BB189D"/>
    <w:rsid w:val="00BB4210"/>
    <w:rsid w:val="00BB525C"/>
    <w:rsid w:val="00BB5A66"/>
    <w:rsid w:val="00BB6E75"/>
    <w:rsid w:val="00BD4FC2"/>
    <w:rsid w:val="00BD6163"/>
    <w:rsid w:val="00BD72FC"/>
    <w:rsid w:val="00BE17DD"/>
    <w:rsid w:val="00BE1F5B"/>
    <w:rsid w:val="00BE3CD4"/>
    <w:rsid w:val="00BE4546"/>
    <w:rsid w:val="00BE46EB"/>
    <w:rsid w:val="00BE5C6C"/>
    <w:rsid w:val="00BE63B7"/>
    <w:rsid w:val="00C045E9"/>
    <w:rsid w:val="00C0476D"/>
    <w:rsid w:val="00C06518"/>
    <w:rsid w:val="00C0657B"/>
    <w:rsid w:val="00C066FF"/>
    <w:rsid w:val="00C13B98"/>
    <w:rsid w:val="00C1448A"/>
    <w:rsid w:val="00C14576"/>
    <w:rsid w:val="00C16BB8"/>
    <w:rsid w:val="00C2101B"/>
    <w:rsid w:val="00C21EAC"/>
    <w:rsid w:val="00C22265"/>
    <w:rsid w:val="00C22DC6"/>
    <w:rsid w:val="00C2569F"/>
    <w:rsid w:val="00C26121"/>
    <w:rsid w:val="00C3266E"/>
    <w:rsid w:val="00C32B27"/>
    <w:rsid w:val="00C35051"/>
    <w:rsid w:val="00C35F32"/>
    <w:rsid w:val="00C36D88"/>
    <w:rsid w:val="00C37656"/>
    <w:rsid w:val="00C377DE"/>
    <w:rsid w:val="00C37D9A"/>
    <w:rsid w:val="00C4009F"/>
    <w:rsid w:val="00C435FD"/>
    <w:rsid w:val="00C44272"/>
    <w:rsid w:val="00C453A0"/>
    <w:rsid w:val="00C46E3F"/>
    <w:rsid w:val="00C46EC9"/>
    <w:rsid w:val="00C5009C"/>
    <w:rsid w:val="00C515E5"/>
    <w:rsid w:val="00C51DE3"/>
    <w:rsid w:val="00C5208D"/>
    <w:rsid w:val="00C532DE"/>
    <w:rsid w:val="00C54479"/>
    <w:rsid w:val="00C547F3"/>
    <w:rsid w:val="00C572BD"/>
    <w:rsid w:val="00C6152A"/>
    <w:rsid w:val="00C619C9"/>
    <w:rsid w:val="00C661A9"/>
    <w:rsid w:val="00C704E0"/>
    <w:rsid w:val="00C71888"/>
    <w:rsid w:val="00C75750"/>
    <w:rsid w:val="00C81478"/>
    <w:rsid w:val="00C826DE"/>
    <w:rsid w:val="00C84EE9"/>
    <w:rsid w:val="00C871E5"/>
    <w:rsid w:val="00C874E8"/>
    <w:rsid w:val="00C96293"/>
    <w:rsid w:val="00CA216D"/>
    <w:rsid w:val="00CA6E7B"/>
    <w:rsid w:val="00CB0B40"/>
    <w:rsid w:val="00CB351E"/>
    <w:rsid w:val="00CB355E"/>
    <w:rsid w:val="00CB4712"/>
    <w:rsid w:val="00CC3D4B"/>
    <w:rsid w:val="00CC4CD1"/>
    <w:rsid w:val="00CC5AC0"/>
    <w:rsid w:val="00CD0968"/>
    <w:rsid w:val="00CD4AB6"/>
    <w:rsid w:val="00CD648E"/>
    <w:rsid w:val="00CE156E"/>
    <w:rsid w:val="00CE3CF1"/>
    <w:rsid w:val="00CF1EA8"/>
    <w:rsid w:val="00CF3F87"/>
    <w:rsid w:val="00D00B29"/>
    <w:rsid w:val="00D01ADA"/>
    <w:rsid w:val="00D02187"/>
    <w:rsid w:val="00D023A6"/>
    <w:rsid w:val="00D04DAC"/>
    <w:rsid w:val="00D051B0"/>
    <w:rsid w:val="00D055D7"/>
    <w:rsid w:val="00D0663B"/>
    <w:rsid w:val="00D10D55"/>
    <w:rsid w:val="00D11B4D"/>
    <w:rsid w:val="00D1377A"/>
    <w:rsid w:val="00D15751"/>
    <w:rsid w:val="00D15F9E"/>
    <w:rsid w:val="00D17B5B"/>
    <w:rsid w:val="00D201D8"/>
    <w:rsid w:val="00D21EB9"/>
    <w:rsid w:val="00D240CE"/>
    <w:rsid w:val="00D3261E"/>
    <w:rsid w:val="00D333A2"/>
    <w:rsid w:val="00D34479"/>
    <w:rsid w:val="00D42625"/>
    <w:rsid w:val="00D515BC"/>
    <w:rsid w:val="00D5211B"/>
    <w:rsid w:val="00D53D87"/>
    <w:rsid w:val="00D53FCF"/>
    <w:rsid w:val="00D55B46"/>
    <w:rsid w:val="00D60421"/>
    <w:rsid w:val="00D62F47"/>
    <w:rsid w:val="00D66554"/>
    <w:rsid w:val="00D66CF5"/>
    <w:rsid w:val="00D67F47"/>
    <w:rsid w:val="00D71329"/>
    <w:rsid w:val="00D71694"/>
    <w:rsid w:val="00D7183F"/>
    <w:rsid w:val="00D72BA1"/>
    <w:rsid w:val="00D80485"/>
    <w:rsid w:val="00D81105"/>
    <w:rsid w:val="00D85002"/>
    <w:rsid w:val="00D867B8"/>
    <w:rsid w:val="00D86E84"/>
    <w:rsid w:val="00D91C49"/>
    <w:rsid w:val="00D92028"/>
    <w:rsid w:val="00D95132"/>
    <w:rsid w:val="00DA19CA"/>
    <w:rsid w:val="00DA1B55"/>
    <w:rsid w:val="00DA1E4B"/>
    <w:rsid w:val="00DA42EA"/>
    <w:rsid w:val="00DB2ADD"/>
    <w:rsid w:val="00DB3AA8"/>
    <w:rsid w:val="00DB5F8C"/>
    <w:rsid w:val="00DC03AF"/>
    <w:rsid w:val="00DC0877"/>
    <w:rsid w:val="00DC153E"/>
    <w:rsid w:val="00DC1C0A"/>
    <w:rsid w:val="00DC4062"/>
    <w:rsid w:val="00DC4922"/>
    <w:rsid w:val="00DC4BCA"/>
    <w:rsid w:val="00DC54B5"/>
    <w:rsid w:val="00DC578C"/>
    <w:rsid w:val="00DC721E"/>
    <w:rsid w:val="00DD09CC"/>
    <w:rsid w:val="00DD1347"/>
    <w:rsid w:val="00DD221E"/>
    <w:rsid w:val="00DE02D6"/>
    <w:rsid w:val="00DE107B"/>
    <w:rsid w:val="00DE1138"/>
    <w:rsid w:val="00DE4403"/>
    <w:rsid w:val="00DE744B"/>
    <w:rsid w:val="00DF2C37"/>
    <w:rsid w:val="00DF5916"/>
    <w:rsid w:val="00DF5C58"/>
    <w:rsid w:val="00DF7DB2"/>
    <w:rsid w:val="00E01D6A"/>
    <w:rsid w:val="00E01DAD"/>
    <w:rsid w:val="00E045F4"/>
    <w:rsid w:val="00E046AB"/>
    <w:rsid w:val="00E06AFC"/>
    <w:rsid w:val="00E07C28"/>
    <w:rsid w:val="00E1567E"/>
    <w:rsid w:val="00E1674F"/>
    <w:rsid w:val="00E17289"/>
    <w:rsid w:val="00E17AA5"/>
    <w:rsid w:val="00E3181C"/>
    <w:rsid w:val="00E33378"/>
    <w:rsid w:val="00E36CDD"/>
    <w:rsid w:val="00E36E7C"/>
    <w:rsid w:val="00E43F6A"/>
    <w:rsid w:val="00E4543B"/>
    <w:rsid w:val="00E47B5F"/>
    <w:rsid w:val="00E50D1B"/>
    <w:rsid w:val="00E523DB"/>
    <w:rsid w:val="00E547A8"/>
    <w:rsid w:val="00E56268"/>
    <w:rsid w:val="00E602D3"/>
    <w:rsid w:val="00E60D0A"/>
    <w:rsid w:val="00E62E0B"/>
    <w:rsid w:val="00E64EE9"/>
    <w:rsid w:val="00E67089"/>
    <w:rsid w:val="00E70023"/>
    <w:rsid w:val="00E701E3"/>
    <w:rsid w:val="00E712EE"/>
    <w:rsid w:val="00E75298"/>
    <w:rsid w:val="00E76438"/>
    <w:rsid w:val="00E76830"/>
    <w:rsid w:val="00E77060"/>
    <w:rsid w:val="00E7774B"/>
    <w:rsid w:val="00E77E46"/>
    <w:rsid w:val="00E8343B"/>
    <w:rsid w:val="00E872C6"/>
    <w:rsid w:val="00E900A9"/>
    <w:rsid w:val="00E9147E"/>
    <w:rsid w:val="00E93A97"/>
    <w:rsid w:val="00E940D5"/>
    <w:rsid w:val="00E94367"/>
    <w:rsid w:val="00E96DF5"/>
    <w:rsid w:val="00E96F15"/>
    <w:rsid w:val="00EA10A2"/>
    <w:rsid w:val="00EA13BA"/>
    <w:rsid w:val="00EA28F6"/>
    <w:rsid w:val="00EA602B"/>
    <w:rsid w:val="00EA6BCE"/>
    <w:rsid w:val="00EA763F"/>
    <w:rsid w:val="00EB130E"/>
    <w:rsid w:val="00EB2704"/>
    <w:rsid w:val="00EB4880"/>
    <w:rsid w:val="00EB5A43"/>
    <w:rsid w:val="00EC2C84"/>
    <w:rsid w:val="00EC38C9"/>
    <w:rsid w:val="00EC60BC"/>
    <w:rsid w:val="00EC75CD"/>
    <w:rsid w:val="00EC7603"/>
    <w:rsid w:val="00EC7B48"/>
    <w:rsid w:val="00ED3465"/>
    <w:rsid w:val="00ED37B9"/>
    <w:rsid w:val="00ED4A58"/>
    <w:rsid w:val="00EE6F17"/>
    <w:rsid w:val="00EF03E9"/>
    <w:rsid w:val="00EF2794"/>
    <w:rsid w:val="00EF2975"/>
    <w:rsid w:val="00EF3243"/>
    <w:rsid w:val="00F04982"/>
    <w:rsid w:val="00F05A48"/>
    <w:rsid w:val="00F05AC0"/>
    <w:rsid w:val="00F0647D"/>
    <w:rsid w:val="00F074BC"/>
    <w:rsid w:val="00F116F6"/>
    <w:rsid w:val="00F155FF"/>
    <w:rsid w:val="00F15B4E"/>
    <w:rsid w:val="00F15CB4"/>
    <w:rsid w:val="00F223DB"/>
    <w:rsid w:val="00F24D16"/>
    <w:rsid w:val="00F26332"/>
    <w:rsid w:val="00F31BDA"/>
    <w:rsid w:val="00F32A2C"/>
    <w:rsid w:val="00F3508B"/>
    <w:rsid w:val="00F354E0"/>
    <w:rsid w:val="00F3597B"/>
    <w:rsid w:val="00F360DE"/>
    <w:rsid w:val="00F36C30"/>
    <w:rsid w:val="00F37A22"/>
    <w:rsid w:val="00F41B3E"/>
    <w:rsid w:val="00F41D63"/>
    <w:rsid w:val="00F46AFC"/>
    <w:rsid w:val="00F51112"/>
    <w:rsid w:val="00F52B57"/>
    <w:rsid w:val="00F57ED8"/>
    <w:rsid w:val="00F60EAF"/>
    <w:rsid w:val="00F64D83"/>
    <w:rsid w:val="00F730EA"/>
    <w:rsid w:val="00F73428"/>
    <w:rsid w:val="00F743B8"/>
    <w:rsid w:val="00F75501"/>
    <w:rsid w:val="00F77EDF"/>
    <w:rsid w:val="00F820FD"/>
    <w:rsid w:val="00F82AD6"/>
    <w:rsid w:val="00F83A77"/>
    <w:rsid w:val="00F841B0"/>
    <w:rsid w:val="00F84F39"/>
    <w:rsid w:val="00F87531"/>
    <w:rsid w:val="00F906B2"/>
    <w:rsid w:val="00F91968"/>
    <w:rsid w:val="00F922A1"/>
    <w:rsid w:val="00FA029E"/>
    <w:rsid w:val="00FA7567"/>
    <w:rsid w:val="00FB0E8A"/>
    <w:rsid w:val="00FB1B7D"/>
    <w:rsid w:val="00FB4BC1"/>
    <w:rsid w:val="00FB4E34"/>
    <w:rsid w:val="00FB75D4"/>
    <w:rsid w:val="00FB7B53"/>
    <w:rsid w:val="00FC0FE5"/>
    <w:rsid w:val="00FD0F1C"/>
    <w:rsid w:val="00FD1B11"/>
    <w:rsid w:val="00FD27FB"/>
    <w:rsid w:val="00FD2A85"/>
    <w:rsid w:val="00FD378C"/>
    <w:rsid w:val="00FD391A"/>
    <w:rsid w:val="00FD3C6F"/>
    <w:rsid w:val="00FD7137"/>
    <w:rsid w:val="00FE17D2"/>
    <w:rsid w:val="00FE208B"/>
    <w:rsid w:val="00FE3DF3"/>
    <w:rsid w:val="00FE5310"/>
    <w:rsid w:val="00FE63D4"/>
    <w:rsid w:val="00FF011A"/>
    <w:rsid w:val="00FF03D0"/>
    <w:rsid w:val="00FF0990"/>
    <w:rsid w:val="00FF200B"/>
    <w:rsid w:val="00FF2640"/>
    <w:rsid w:val="00FF2852"/>
    <w:rsid w:val="00FF3469"/>
    <w:rsid w:val="00FF3C87"/>
    <w:rsid w:val="00FF78F5"/>
    <w:rsid w:val="00FF797E"/>
    <w:rsid w:val="04362F09"/>
    <w:rsid w:val="04DC3515"/>
    <w:rsid w:val="058F56DD"/>
    <w:rsid w:val="09F748DD"/>
    <w:rsid w:val="0AB70070"/>
    <w:rsid w:val="0AC922B4"/>
    <w:rsid w:val="0DBF5E95"/>
    <w:rsid w:val="0E1C7929"/>
    <w:rsid w:val="107C4D95"/>
    <w:rsid w:val="189F2AAE"/>
    <w:rsid w:val="1D651DFB"/>
    <w:rsid w:val="1D8636F3"/>
    <w:rsid w:val="1F654203"/>
    <w:rsid w:val="242654EF"/>
    <w:rsid w:val="2B37170B"/>
    <w:rsid w:val="2E944D36"/>
    <w:rsid w:val="32EA6326"/>
    <w:rsid w:val="374C2416"/>
    <w:rsid w:val="37EE7C62"/>
    <w:rsid w:val="398E5E74"/>
    <w:rsid w:val="49A27C72"/>
    <w:rsid w:val="4B745C51"/>
    <w:rsid w:val="4BDA0933"/>
    <w:rsid w:val="4CEA1034"/>
    <w:rsid w:val="552D203D"/>
    <w:rsid w:val="5FEC793A"/>
    <w:rsid w:val="60CD0B4B"/>
    <w:rsid w:val="63617259"/>
    <w:rsid w:val="65260321"/>
    <w:rsid w:val="67CC7867"/>
    <w:rsid w:val="68291535"/>
    <w:rsid w:val="6EDB5E70"/>
    <w:rsid w:val="6F721210"/>
    <w:rsid w:val="70933570"/>
    <w:rsid w:val="70CF4B99"/>
    <w:rsid w:val="71E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0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C008A"/>
    <w:pPr>
      <w:keepNext/>
      <w:widowControl/>
      <w:numPr>
        <w:numId w:val="1"/>
      </w:numPr>
      <w:spacing w:after="240" w:line="360" w:lineRule="auto"/>
      <w:jc w:val="center"/>
      <w:outlineLvl w:val="0"/>
    </w:pPr>
    <w:rPr>
      <w:rFonts w:ascii="Arial" w:eastAsia="SC STKaiti" w:hAnsi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4C00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4C00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C008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C008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0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4C008A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4C008A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4C008A"/>
    <w:rPr>
      <w:rFonts w:ascii="Arial" w:eastAsia="SC STKaiti" w:hAnsi="Arial"/>
      <w:b/>
      <w:bCs/>
      <w:kern w:val="32"/>
      <w:sz w:val="28"/>
      <w:szCs w:val="32"/>
    </w:rPr>
  </w:style>
  <w:style w:type="paragraph" w:styleId="a7">
    <w:name w:val="Balloon Text"/>
    <w:basedOn w:val="a"/>
    <w:link w:val="Char1"/>
    <w:rsid w:val="00F820FD"/>
    <w:rPr>
      <w:sz w:val="18"/>
      <w:szCs w:val="18"/>
    </w:rPr>
  </w:style>
  <w:style w:type="character" w:customStyle="1" w:styleId="Char1">
    <w:name w:val="批注框文本 Char"/>
    <w:basedOn w:val="a0"/>
    <w:link w:val="a7"/>
    <w:rsid w:val="00F820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648</Words>
  <Characters>3696</Characters>
  <Application>Microsoft Office Word</Application>
  <DocSecurity>0</DocSecurity>
  <Lines>30</Lines>
  <Paragraphs>8</Paragraphs>
  <ScaleCrop>false</ScaleCrop>
  <Company>WwW.YlmF.CoM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000157/1157                           证券简称：中联重科</dc:title>
  <dc:creator>范炜</dc:creator>
  <cp:lastModifiedBy>zoomlion</cp:lastModifiedBy>
  <cp:revision>4</cp:revision>
  <cp:lastPrinted>2019-09-02T05:59:00Z</cp:lastPrinted>
  <dcterms:created xsi:type="dcterms:W3CDTF">2019-09-03T01:14:00Z</dcterms:created>
  <dcterms:modified xsi:type="dcterms:W3CDTF">2019-09-03T01:29:00Z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