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7F" w:rsidRPr="006557EF" w:rsidRDefault="00966F7F" w:rsidP="009F5925">
      <w:pPr>
        <w:spacing w:beforeLines="50" w:afterLines="50" w:line="400" w:lineRule="exact"/>
        <w:jc w:val="center"/>
        <w:rPr>
          <w:rFonts w:ascii="宋体" w:hAnsi="宋体"/>
          <w:bCs/>
          <w:iCs/>
          <w:color w:val="000000"/>
          <w:sz w:val="24"/>
        </w:rPr>
      </w:pPr>
      <w:r w:rsidRPr="006557EF">
        <w:rPr>
          <w:rFonts w:ascii="宋体" w:hAnsi="宋体" w:hint="eastAsia"/>
          <w:bCs/>
          <w:iCs/>
          <w:color w:val="000000"/>
          <w:sz w:val="24"/>
        </w:rPr>
        <w:t>证券代码：000031                        证券简称：</w:t>
      </w:r>
      <w:r w:rsidR="00743FE6" w:rsidRPr="006557EF">
        <w:rPr>
          <w:rFonts w:ascii="宋体" w:hAnsi="宋体" w:hint="eastAsia"/>
          <w:bCs/>
          <w:iCs/>
          <w:color w:val="000000"/>
          <w:sz w:val="24"/>
        </w:rPr>
        <w:t>大悦城</w:t>
      </w:r>
    </w:p>
    <w:p w:rsidR="00966F7F" w:rsidRPr="006557EF" w:rsidRDefault="00743FE6" w:rsidP="009F5925">
      <w:pPr>
        <w:spacing w:beforeLines="50" w:afterLines="50" w:line="400" w:lineRule="exact"/>
        <w:jc w:val="center"/>
        <w:rPr>
          <w:rFonts w:ascii="黑体" w:eastAsia="黑体" w:hAnsi="黑体"/>
          <w:bCs/>
          <w:iCs/>
          <w:color w:val="000000"/>
          <w:sz w:val="28"/>
          <w:szCs w:val="28"/>
        </w:rPr>
      </w:pPr>
      <w:r w:rsidRPr="006557EF">
        <w:rPr>
          <w:rFonts w:ascii="黑体" w:eastAsia="黑体" w:hAnsi="黑体" w:hint="eastAsia"/>
          <w:bCs/>
          <w:iCs/>
          <w:color w:val="000000"/>
          <w:sz w:val="28"/>
          <w:szCs w:val="28"/>
        </w:rPr>
        <w:t>大悦城控股集团股份有限公司</w:t>
      </w:r>
      <w:r w:rsidR="00966F7F" w:rsidRPr="006557EF">
        <w:rPr>
          <w:rFonts w:ascii="黑体" w:eastAsia="黑体" w:hAnsi="黑体" w:hint="eastAsia"/>
          <w:bCs/>
          <w:iCs/>
          <w:color w:val="000000"/>
          <w:sz w:val="28"/>
          <w:szCs w:val="28"/>
        </w:rPr>
        <w:t>投资者关系活动记录表</w:t>
      </w:r>
    </w:p>
    <w:p w:rsidR="00966F7F" w:rsidRPr="006557EF" w:rsidRDefault="00966F7F" w:rsidP="00E45CCD">
      <w:pPr>
        <w:spacing w:line="400" w:lineRule="exact"/>
        <w:jc w:val="right"/>
        <w:rPr>
          <w:rFonts w:ascii="宋体" w:hAnsi="宋体"/>
          <w:bCs/>
          <w:iCs/>
          <w:color w:val="000000"/>
          <w:sz w:val="24"/>
        </w:rPr>
      </w:pPr>
      <w:r w:rsidRPr="006557EF">
        <w:rPr>
          <w:rFonts w:ascii="宋体" w:hAnsi="宋体" w:hint="eastAsia"/>
          <w:bCs/>
          <w:iCs/>
          <w:color w:val="000000"/>
          <w:sz w:val="24"/>
        </w:rPr>
        <w:t>编号：</w:t>
      </w:r>
      <w:r w:rsidR="002F38E0" w:rsidRPr="006557EF">
        <w:rPr>
          <w:rFonts w:ascii="宋体" w:hAnsi="宋体" w:hint="eastAsia"/>
          <w:bCs/>
          <w:iCs/>
          <w:color w:val="000000"/>
          <w:sz w:val="24"/>
        </w:rPr>
        <w:t>201</w:t>
      </w:r>
      <w:r w:rsidR="006C0CAF" w:rsidRPr="006557EF">
        <w:rPr>
          <w:rFonts w:ascii="宋体" w:hAnsi="宋体"/>
          <w:bCs/>
          <w:iCs/>
          <w:color w:val="000000"/>
          <w:sz w:val="24"/>
        </w:rPr>
        <w:t>9</w:t>
      </w:r>
      <w:r w:rsidR="00951E64" w:rsidRPr="006557EF">
        <w:rPr>
          <w:rFonts w:ascii="宋体" w:hAnsi="宋体" w:hint="eastAsia"/>
          <w:bCs/>
          <w:iCs/>
          <w:color w:val="000000"/>
          <w:sz w:val="24"/>
        </w:rPr>
        <w:t>-</w:t>
      </w:r>
      <w:r w:rsidR="00BD21BB" w:rsidRPr="006557EF">
        <w:rPr>
          <w:rFonts w:ascii="宋体" w:hAnsi="宋体" w:hint="eastAsia"/>
          <w:bCs/>
          <w:iCs/>
          <w:color w:val="000000"/>
          <w:sz w:val="24"/>
        </w:rPr>
        <w:t>00</w:t>
      </w:r>
      <w:r w:rsidR="00B0595E">
        <w:rPr>
          <w:rFonts w:ascii="宋体" w:hAnsi="宋体" w:hint="eastAsia"/>
          <w:bCs/>
          <w:iCs/>
          <w:color w:val="000000"/>
          <w:sz w:val="24"/>
        </w:rPr>
        <w:t>5</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229"/>
      </w:tblGrid>
      <w:tr w:rsidR="00966F7F" w:rsidRPr="00BD21BB"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B0595E" w:rsidP="001A08BA">
            <w:pPr>
              <w:spacing w:line="480" w:lineRule="atLeast"/>
              <w:rPr>
                <w:rFonts w:ascii="宋体" w:hAnsi="宋体"/>
                <w:bCs/>
                <w:iCs/>
                <w:color w:val="000000"/>
                <w:sz w:val="24"/>
              </w:rPr>
            </w:pPr>
            <w:r w:rsidRPr="006557EF">
              <w:rPr>
                <w:rFonts w:ascii="宋体" w:hAnsi="宋体" w:hint="eastAsia"/>
                <w:bCs/>
                <w:iCs/>
                <w:color w:val="000000"/>
                <w:sz w:val="24"/>
              </w:rPr>
              <w:t>□</w:t>
            </w:r>
            <w:r w:rsidR="00966F7F" w:rsidRPr="006557EF">
              <w:rPr>
                <w:rFonts w:ascii="宋体" w:hAnsi="宋体" w:hint="eastAsia"/>
                <w:sz w:val="24"/>
              </w:rPr>
              <w:t xml:space="preserve">特定对象调研        </w:t>
            </w:r>
            <w:r w:rsidR="00966F7F" w:rsidRPr="006557EF">
              <w:rPr>
                <w:rFonts w:ascii="宋体" w:hAnsi="宋体" w:hint="eastAsia"/>
                <w:bCs/>
                <w:iCs/>
                <w:color w:val="000000"/>
                <w:sz w:val="24"/>
              </w:rPr>
              <w:t>□</w:t>
            </w:r>
            <w:r w:rsidR="00966F7F" w:rsidRPr="006557EF">
              <w:rPr>
                <w:rFonts w:ascii="宋体" w:hAnsi="宋体" w:hint="eastAsia"/>
                <w:sz w:val="24"/>
              </w:rPr>
              <w:t>分析师会议</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媒体采访            </w:t>
            </w:r>
            <w:r w:rsidR="00B0595E" w:rsidRPr="006557EF">
              <w:rPr>
                <w:rFonts w:ascii="宋体" w:hAnsi="宋体" w:hint="eastAsia"/>
                <w:bCs/>
                <w:iCs/>
                <w:color w:val="000000"/>
                <w:sz w:val="24"/>
              </w:rPr>
              <w:t>√</w:t>
            </w:r>
            <w:r w:rsidRPr="006557EF">
              <w:rPr>
                <w:rFonts w:ascii="宋体" w:hAnsi="宋体" w:hint="eastAsia"/>
                <w:sz w:val="24"/>
              </w:rPr>
              <w:t>业绩说明会</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新闻发布会          </w:t>
            </w:r>
            <w:r w:rsidR="00FA0B97" w:rsidRPr="006557EF">
              <w:rPr>
                <w:rFonts w:ascii="宋体" w:hAnsi="宋体" w:hint="eastAsia"/>
                <w:bCs/>
                <w:iCs/>
                <w:color w:val="000000"/>
                <w:sz w:val="24"/>
              </w:rPr>
              <w:t>□</w:t>
            </w:r>
            <w:r w:rsidRPr="006557EF">
              <w:rPr>
                <w:rFonts w:ascii="宋体" w:hAnsi="宋体" w:hint="eastAsia"/>
                <w:sz w:val="24"/>
              </w:rPr>
              <w:t>路演活动</w:t>
            </w:r>
          </w:p>
          <w:p w:rsidR="00966F7F" w:rsidRPr="006557EF" w:rsidRDefault="00966F7F" w:rsidP="001A08BA">
            <w:pPr>
              <w:tabs>
                <w:tab w:val="left" w:pos="3045"/>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现场参观</w:t>
            </w:r>
            <w:r w:rsidRPr="006557EF">
              <w:rPr>
                <w:rFonts w:ascii="宋体" w:hAnsi="宋体" w:hint="eastAsia"/>
                <w:bCs/>
                <w:iCs/>
                <w:color w:val="000000"/>
                <w:sz w:val="24"/>
              </w:rPr>
              <w:tab/>
            </w:r>
          </w:p>
          <w:p w:rsidR="00966F7F" w:rsidRPr="006557EF" w:rsidRDefault="00966F7F" w:rsidP="001A08BA">
            <w:pPr>
              <w:tabs>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其他 （</w:t>
            </w:r>
            <w:proofErr w:type="gramStart"/>
            <w:r w:rsidRPr="006557EF">
              <w:rPr>
                <w:rFonts w:ascii="宋体" w:hAnsi="宋体" w:hint="eastAsia"/>
                <w:sz w:val="24"/>
                <w:u w:val="single"/>
              </w:rPr>
              <w:t>请文字</w:t>
            </w:r>
            <w:proofErr w:type="gramEnd"/>
            <w:r w:rsidRPr="006557EF">
              <w:rPr>
                <w:rFonts w:ascii="宋体" w:hAnsi="宋体" w:hint="eastAsia"/>
                <w:sz w:val="24"/>
                <w:u w:val="single"/>
              </w:rPr>
              <w:t>说明其他活动内容）</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C36C29" w:rsidRPr="005A1C71" w:rsidRDefault="00246DE6" w:rsidP="00AF3787">
            <w:pPr>
              <w:spacing w:line="360" w:lineRule="auto"/>
              <w:rPr>
                <w:rFonts w:ascii="宋体" w:hAnsi="宋体"/>
                <w:bCs/>
                <w:iCs/>
                <w:color w:val="000000"/>
                <w:sz w:val="24"/>
              </w:rPr>
            </w:pPr>
            <w:r w:rsidRPr="000555AD">
              <w:rPr>
                <w:rFonts w:ascii="宋体" w:hAnsi="宋体" w:hint="eastAsia"/>
                <w:bCs/>
                <w:iCs/>
                <w:color w:val="000000"/>
                <w:sz w:val="24"/>
              </w:rPr>
              <w:t>华泰证券、中信建投、华创证券</w:t>
            </w:r>
            <w:r w:rsidR="000555AD">
              <w:rPr>
                <w:rFonts w:ascii="宋体" w:hAnsi="宋体" w:hint="eastAsia"/>
                <w:bCs/>
                <w:iCs/>
                <w:color w:val="000000"/>
                <w:sz w:val="24"/>
              </w:rPr>
              <w:t>、东方证券、中信证券、</w:t>
            </w:r>
            <w:r w:rsidR="00AF3787">
              <w:rPr>
                <w:rFonts w:ascii="宋体" w:hAnsi="宋体" w:hint="eastAsia"/>
                <w:bCs/>
                <w:iCs/>
                <w:color w:val="000000"/>
                <w:sz w:val="24"/>
              </w:rPr>
              <w:t>方正证券、</w:t>
            </w:r>
            <w:r w:rsidR="000555AD">
              <w:rPr>
                <w:rFonts w:ascii="宋体" w:hAnsi="宋体" w:hint="eastAsia"/>
                <w:bCs/>
                <w:iCs/>
                <w:color w:val="000000"/>
                <w:sz w:val="24"/>
              </w:rPr>
              <w:t>南方基金、博时基金、海通证券、国泰君安</w:t>
            </w:r>
            <w:r w:rsidRPr="000555AD">
              <w:rPr>
                <w:rFonts w:ascii="宋体" w:hAnsi="宋体" w:hint="eastAsia"/>
                <w:bCs/>
                <w:iCs/>
                <w:color w:val="000000"/>
                <w:sz w:val="24"/>
              </w:rPr>
              <w:t>等机构投资者、分析师、研究员约60人。</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0F3A3D">
            <w:pPr>
              <w:spacing w:line="360" w:lineRule="auto"/>
              <w:rPr>
                <w:rFonts w:ascii="宋体" w:hAnsi="宋体"/>
                <w:bCs/>
                <w:iCs/>
                <w:color w:val="000000"/>
                <w:sz w:val="24"/>
              </w:rPr>
            </w:pPr>
            <w:r w:rsidRPr="006557EF">
              <w:rPr>
                <w:rFonts w:ascii="宋体" w:hAnsi="宋体" w:hint="eastAsia"/>
                <w:bCs/>
                <w:iCs/>
                <w:color w:val="000000"/>
                <w:sz w:val="24"/>
              </w:rPr>
              <w:t>201</w:t>
            </w:r>
            <w:r w:rsidR="006C0CAF" w:rsidRPr="006557EF">
              <w:rPr>
                <w:rFonts w:ascii="宋体" w:hAnsi="宋体" w:hint="eastAsia"/>
                <w:bCs/>
                <w:iCs/>
                <w:color w:val="000000"/>
                <w:sz w:val="24"/>
              </w:rPr>
              <w:t>9</w:t>
            </w:r>
            <w:r w:rsidRPr="006557EF">
              <w:rPr>
                <w:rFonts w:ascii="宋体" w:hAnsi="宋体" w:hint="eastAsia"/>
                <w:bCs/>
                <w:iCs/>
                <w:color w:val="000000"/>
                <w:sz w:val="24"/>
              </w:rPr>
              <w:t>.</w:t>
            </w:r>
            <w:r w:rsidR="00BD21BB">
              <w:rPr>
                <w:rFonts w:ascii="宋体" w:hAnsi="宋体" w:hint="eastAsia"/>
                <w:bCs/>
                <w:iCs/>
                <w:color w:val="000000"/>
                <w:sz w:val="24"/>
              </w:rPr>
              <w:t>0</w:t>
            </w:r>
            <w:r w:rsidR="00B0595E">
              <w:rPr>
                <w:rFonts w:ascii="宋体" w:hAnsi="宋体" w:hint="eastAsia"/>
                <w:bCs/>
                <w:iCs/>
                <w:color w:val="000000"/>
                <w:sz w:val="24"/>
              </w:rPr>
              <w:t>9</w:t>
            </w:r>
            <w:r w:rsidR="00C36C29">
              <w:rPr>
                <w:rFonts w:ascii="宋体" w:hAnsi="宋体" w:hint="eastAsia"/>
                <w:bCs/>
                <w:iCs/>
                <w:color w:val="000000"/>
                <w:sz w:val="24"/>
              </w:rPr>
              <w:t>.</w:t>
            </w:r>
            <w:r w:rsidR="00B0595E">
              <w:rPr>
                <w:rFonts w:ascii="宋体" w:hAnsi="宋体" w:hint="eastAsia"/>
                <w:bCs/>
                <w:iCs/>
                <w:color w:val="000000"/>
                <w:sz w:val="24"/>
              </w:rPr>
              <w:t>02</w:t>
            </w:r>
            <w:r w:rsidR="00BD21BB" w:rsidRPr="006557EF">
              <w:rPr>
                <w:rFonts w:ascii="宋体" w:hAnsi="宋体" w:hint="eastAsia"/>
                <w:bCs/>
                <w:iCs/>
                <w:color w:val="000000"/>
                <w:sz w:val="24"/>
              </w:rPr>
              <w:t xml:space="preserve">  </w:t>
            </w:r>
            <w:r w:rsidR="00B0595E">
              <w:rPr>
                <w:rFonts w:ascii="宋体" w:hAnsi="宋体" w:hint="eastAsia"/>
                <w:bCs/>
                <w:iCs/>
                <w:color w:val="000000"/>
                <w:sz w:val="24"/>
              </w:rPr>
              <w:t>14</w:t>
            </w:r>
            <w:r w:rsidR="003001E7" w:rsidRPr="006557EF">
              <w:rPr>
                <w:rFonts w:ascii="宋体" w:hAnsi="宋体" w:hint="eastAsia"/>
                <w:bCs/>
                <w:iCs/>
                <w:color w:val="000000"/>
                <w:sz w:val="24"/>
              </w:rPr>
              <w:t>:</w:t>
            </w:r>
            <w:r w:rsidR="00B0595E">
              <w:rPr>
                <w:rFonts w:ascii="宋体" w:hAnsi="宋体" w:hint="eastAsia"/>
                <w:bCs/>
                <w:iCs/>
                <w:color w:val="000000"/>
                <w:sz w:val="24"/>
              </w:rPr>
              <w:t>30</w:t>
            </w:r>
            <w:r w:rsidR="00962DAD" w:rsidRPr="006557EF">
              <w:rPr>
                <w:rFonts w:ascii="宋体" w:hAnsi="宋体" w:hint="eastAsia"/>
                <w:bCs/>
                <w:iCs/>
                <w:color w:val="000000"/>
                <w:sz w:val="24"/>
              </w:rPr>
              <w:t>-</w:t>
            </w:r>
            <w:r w:rsidR="00B0595E">
              <w:rPr>
                <w:rFonts w:ascii="宋体" w:hAnsi="宋体" w:hint="eastAsia"/>
                <w:bCs/>
                <w:iCs/>
                <w:color w:val="000000"/>
                <w:sz w:val="24"/>
              </w:rPr>
              <w:t>16</w:t>
            </w:r>
            <w:r w:rsidR="003001E7" w:rsidRPr="006557EF">
              <w:rPr>
                <w:rFonts w:ascii="宋体" w:hAnsi="宋体" w:hint="eastAsia"/>
                <w:bCs/>
                <w:iCs/>
                <w:color w:val="000000"/>
                <w:sz w:val="24"/>
              </w:rPr>
              <w:t>:</w:t>
            </w:r>
            <w:r w:rsidR="000F3A3D">
              <w:rPr>
                <w:rFonts w:ascii="宋体" w:hAnsi="宋体"/>
                <w:bCs/>
                <w:iCs/>
                <w:color w:val="000000"/>
                <w:sz w:val="24"/>
              </w:rPr>
              <w:t>3</w:t>
            </w:r>
            <w:r w:rsidR="00A75962" w:rsidRPr="006557EF">
              <w:rPr>
                <w:rFonts w:ascii="宋体" w:hAnsi="宋体" w:hint="eastAsia"/>
                <w:bCs/>
                <w:iCs/>
                <w:color w:val="000000"/>
                <w:sz w:val="24"/>
              </w:rPr>
              <w:t>0</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B0595E" w:rsidP="000F3A3D">
            <w:pPr>
              <w:spacing w:line="360" w:lineRule="auto"/>
              <w:rPr>
                <w:rFonts w:ascii="宋体" w:hAnsi="宋体"/>
                <w:bCs/>
                <w:iCs/>
                <w:color w:val="000000"/>
                <w:sz w:val="24"/>
              </w:rPr>
            </w:pPr>
            <w:r>
              <w:rPr>
                <w:rFonts w:ascii="宋体" w:hAnsi="宋体" w:hint="eastAsia"/>
                <w:bCs/>
                <w:iCs/>
                <w:color w:val="000000"/>
                <w:sz w:val="24"/>
              </w:rPr>
              <w:t>北京华尔道夫酒店会议室</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B0595E" w:rsidRDefault="00B0595E" w:rsidP="00621A43">
            <w:pPr>
              <w:spacing w:line="360" w:lineRule="auto"/>
              <w:rPr>
                <w:rFonts w:ascii="宋体" w:hAnsi="宋体"/>
                <w:bCs/>
                <w:iCs/>
                <w:color w:val="000000"/>
                <w:sz w:val="24"/>
              </w:rPr>
            </w:pPr>
            <w:r>
              <w:rPr>
                <w:rFonts w:ascii="宋体" w:hAnsi="宋体" w:hint="eastAsia"/>
                <w:bCs/>
                <w:iCs/>
                <w:color w:val="000000"/>
                <w:sz w:val="24"/>
              </w:rPr>
              <w:t>董事长                      周  政</w:t>
            </w:r>
          </w:p>
          <w:p w:rsidR="00B0595E" w:rsidRDefault="00B0595E" w:rsidP="00621A43">
            <w:pPr>
              <w:spacing w:line="360" w:lineRule="auto"/>
              <w:rPr>
                <w:rFonts w:ascii="宋体" w:hAnsi="宋体"/>
                <w:bCs/>
                <w:iCs/>
                <w:color w:val="000000"/>
                <w:sz w:val="24"/>
              </w:rPr>
            </w:pPr>
            <w:r>
              <w:rPr>
                <w:rFonts w:ascii="宋体" w:hAnsi="宋体" w:hint="eastAsia"/>
                <w:bCs/>
                <w:iCs/>
                <w:color w:val="000000"/>
                <w:sz w:val="24"/>
              </w:rPr>
              <w:t>副总经理                    姚长林</w:t>
            </w:r>
          </w:p>
          <w:p w:rsidR="005D100F" w:rsidRDefault="005D100F" w:rsidP="00621A43">
            <w:pPr>
              <w:spacing w:line="360" w:lineRule="auto"/>
              <w:rPr>
                <w:rFonts w:ascii="宋体" w:hAnsi="宋体"/>
                <w:bCs/>
                <w:iCs/>
                <w:color w:val="000000"/>
                <w:sz w:val="24"/>
              </w:rPr>
            </w:pPr>
            <w:r>
              <w:rPr>
                <w:rFonts w:ascii="宋体" w:hAnsi="宋体" w:hint="eastAsia"/>
                <w:bCs/>
                <w:iCs/>
                <w:color w:val="000000"/>
                <w:sz w:val="24"/>
              </w:rPr>
              <w:t>总会计师</w:t>
            </w:r>
            <w:r>
              <w:rPr>
                <w:rFonts w:ascii="宋体" w:hAnsi="宋体"/>
                <w:bCs/>
                <w:iCs/>
                <w:color w:val="000000"/>
                <w:sz w:val="24"/>
              </w:rPr>
              <w:t>（</w:t>
            </w:r>
            <w:r>
              <w:rPr>
                <w:rFonts w:ascii="宋体" w:hAnsi="宋体" w:hint="eastAsia"/>
                <w:bCs/>
                <w:iCs/>
                <w:color w:val="000000"/>
                <w:sz w:val="24"/>
              </w:rPr>
              <w:t>财务</w:t>
            </w:r>
            <w:r>
              <w:rPr>
                <w:rFonts w:ascii="宋体" w:hAnsi="宋体"/>
                <w:bCs/>
                <w:iCs/>
                <w:color w:val="000000"/>
                <w:sz w:val="24"/>
              </w:rPr>
              <w:t>负责人）</w:t>
            </w:r>
            <w:r w:rsidR="00B0595E">
              <w:rPr>
                <w:rFonts w:ascii="宋体" w:hAnsi="宋体" w:hint="eastAsia"/>
                <w:bCs/>
                <w:iCs/>
                <w:color w:val="000000"/>
                <w:sz w:val="24"/>
              </w:rPr>
              <w:t xml:space="preserve">      </w:t>
            </w:r>
            <w:r>
              <w:rPr>
                <w:rFonts w:ascii="宋体" w:hAnsi="宋体" w:hint="eastAsia"/>
                <w:bCs/>
                <w:iCs/>
                <w:color w:val="000000"/>
                <w:sz w:val="24"/>
              </w:rPr>
              <w:t>许汉平</w:t>
            </w:r>
          </w:p>
          <w:p w:rsidR="005D100F" w:rsidRDefault="005D100F" w:rsidP="00621A43">
            <w:pPr>
              <w:spacing w:line="360" w:lineRule="auto"/>
              <w:rPr>
                <w:rFonts w:ascii="宋体" w:hAnsi="宋体"/>
                <w:bCs/>
                <w:iCs/>
                <w:color w:val="000000"/>
                <w:sz w:val="24"/>
              </w:rPr>
            </w:pPr>
            <w:r>
              <w:rPr>
                <w:rFonts w:ascii="宋体" w:hAnsi="宋体" w:hint="eastAsia"/>
                <w:bCs/>
                <w:iCs/>
                <w:color w:val="000000"/>
                <w:sz w:val="24"/>
              </w:rPr>
              <w:t>总法律顾问、</w:t>
            </w:r>
            <w:r>
              <w:rPr>
                <w:rFonts w:ascii="宋体" w:hAnsi="宋体"/>
                <w:bCs/>
                <w:iCs/>
                <w:color w:val="000000"/>
                <w:sz w:val="24"/>
              </w:rPr>
              <w:t>董事会秘书</w:t>
            </w:r>
            <w:r w:rsidR="00B0595E">
              <w:rPr>
                <w:rFonts w:ascii="宋体" w:hAnsi="宋体" w:hint="eastAsia"/>
                <w:bCs/>
                <w:iCs/>
                <w:color w:val="000000"/>
                <w:sz w:val="24"/>
              </w:rPr>
              <w:t xml:space="preserve">      </w:t>
            </w:r>
            <w:r>
              <w:rPr>
                <w:rFonts w:ascii="宋体" w:hAnsi="宋体" w:hint="eastAsia"/>
                <w:bCs/>
                <w:iCs/>
                <w:color w:val="000000"/>
                <w:sz w:val="24"/>
              </w:rPr>
              <w:t>宋冰心</w:t>
            </w:r>
          </w:p>
          <w:p w:rsidR="005D100F" w:rsidRDefault="005D100F" w:rsidP="00621A43">
            <w:pPr>
              <w:spacing w:line="360" w:lineRule="auto"/>
              <w:rPr>
                <w:rFonts w:ascii="宋体" w:hAnsi="宋体"/>
                <w:bCs/>
                <w:iCs/>
                <w:color w:val="000000"/>
                <w:sz w:val="24"/>
              </w:rPr>
            </w:pPr>
            <w:r>
              <w:rPr>
                <w:rFonts w:ascii="宋体" w:hAnsi="宋体"/>
                <w:bCs/>
                <w:iCs/>
                <w:color w:val="000000"/>
                <w:sz w:val="24"/>
              </w:rPr>
              <w:t>总经理</w:t>
            </w:r>
            <w:r w:rsidR="00B0595E">
              <w:rPr>
                <w:rFonts w:ascii="宋体" w:hAnsi="宋体" w:hint="eastAsia"/>
                <w:bCs/>
                <w:iCs/>
                <w:color w:val="000000"/>
                <w:sz w:val="24"/>
              </w:rPr>
              <w:t>助理                  周  鹏</w:t>
            </w:r>
          </w:p>
          <w:p w:rsidR="005D100F" w:rsidRPr="005D100F" w:rsidRDefault="00B0595E" w:rsidP="004356C4">
            <w:pPr>
              <w:spacing w:line="360" w:lineRule="auto"/>
              <w:rPr>
                <w:rFonts w:ascii="宋体" w:hAnsi="宋体"/>
                <w:bCs/>
                <w:iCs/>
                <w:color w:val="000000"/>
                <w:sz w:val="24"/>
              </w:rPr>
            </w:pPr>
            <w:r>
              <w:rPr>
                <w:rFonts w:ascii="宋体" w:hAnsi="宋体" w:hint="eastAsia"/>
                <w:bCs/>
                <w:iCs/>
                <w:color w:val="000000"/>
                <w:sz w:val="24"/>
              </w:rPr>
              <w:t>财务部总经理                张建国</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EB7853" w:rsidRPr="00BB09F9" w:rsidRDefault="00EB7853" w:rsidP="00313EF4">
            <w:pPr>
              <w:spacing w:line="360" w:lineRule="auto"/>
              <w:ind w:firstLineChars="150" w:firstLine="361"/>
              <w:rPr>
                <w:rFonts w:ascii="STXihei" w:eastAsiaTheme="minorEastAsia" w:hAnsi="STXihei" w:cs="STXihei" w:hint="eastAsia"/>
                <w:b/>
                <w:sz w:val="24"/>
              </w:rPr>
            </w:pPr>
            <w:r w:rsidRPr="00BB09F9">
              <w:rPr>
                <w:rFonts w:ascii="STXihei" w:eastAsiaTheme="minorEastAsia" w:hAnsi="STXihei" w:cs="STXihei" w:hint="eastAsia"/>
                <w:b/>
                <w:sz w:val="24"/>
              </w:rPr>
              <w:t>一、</w:t>
            </w:r>
            <w:r w:rsidRPr="00BB09F9">
              <w:rPr>
                <w:rFonts w:ascii="宋体" w:hAnsi="宋体" w:cs="Helvetica" w:hint="eastAsia"/>
                <w:b/>
                <w:bCs/>
                <w:kern w:val="0"/>
                <w:sz w:val="24"/>
              </w:rPr>
              <w:t>公司战略及2019年上半年经营情况介绍</w:t>
            </w:r>
          </w:p>
          <w:p w:rsidR="00AF3787" w:rsidRPr="00BB09F9" w:rsidRDefault="00AF3787" w:rsidP="00313EF4">
            <w:pPr>
              <w:spacing w:before="40" w:after="40" w:line="360" w:lineRule="auto"/>
              <w:ind w:firstLineChars="200" w:firstLine="480"/>
              <w:rPr>
                <w:kern w:val="0"/>
                <w:sz w:val="24"/>
              </w:rPr>
            </w:pPr>
            <w:r w:rsidRPr="00BB09F9">
              <w:rPr>
                <w:rFonts w:hint="eastAsia"/>
                <w:kern w:val="0"/>
                <w:sz w:val="24"/>
              </w:rPr>
              <w:t>会议首先由公司董事长周政对公司</w:t>
            </w:r>
            <w:r w:rsidRPr="00BB09F9">
              <w:rPr>
                <w:rFonts w:hint="eastAsia"/>
                <w:kern w:val="0"/>
                <w:sz w:val="24"/>
              </w:rPr>
              <w:t>2019</w:t>
            </w:r>
            <w:r w:rsidRPr="00BB09F9">
              <w:rPr>
                <w:rFonts w:hint="eastAsia"/>
                <w:kern w:val="0"/>
                <w:sz w:val="24"/>
              </w:rPr>
              <w:t>年半年度经营情况进行了说明</w:t>
            </w:r>
            <w:r w:rsidR="00EB7853" w:rsidRPr="00BB09F9">
              <w:rPr>
                <w:rFonts w:hint="eastAsia"/>
                <w:kern w:val="0"/>
                <w:sz w:val="24"/>
              </w:rPr>
              <w:t>，主要如下：</w:t>
            </w:r>
          </w:p>
          <w:p w:rsidR="00EB7853" w:rsidRPr="00BB09F9" w:rsidRDefault="00EB7853" w:rsidP="00313EF4">
            <w:pPr>
              <w:spacing w:line="360" w:lineRule="auto"/>
              <w:ind w:firstLineChars="150" w:firstLine="361"/>
              <w:rPr>
                <w:rFonts w:ascii="STXihei" w:eastAsiaTheme="minorEastAsia" w:hAnsi="STXihei" w:cs="STXihei" w:hint="eastAsia"/>
                <w:b/>
                <w:sz w:val="24"/>
              </w:rPr>
            </w:pPr>
            <w:r w:rsidRPr="00BB09F9">
              <w:rPr>
                <w:rFonts w:ascii="STXihei" w:eastAsia="STXihei" w:hAnsi="STXihei" w:cs="STXihei" w:hint="eastAsia"/>
                <w:b/>
                <w:sz w:val="24"/>
              </w:rPr>
              <w:t>（一）公司的战略和定位</w:t>
            </w:r>
          </w:p>
          <w:p w:rsidR="00EB7853" w:rsidRPr="00BB09F9" w:rsidRDefault="00EB7853" w:rsidP="00313EF4">
            <w:pPr>
              <w:spacing w:before="40" w:after="40" w:line="360" w:lineRule="auto"/>
              <w:ind w:firstLineChars="200" w:firstLine="480"/>
              <w:rPr>
                <w:kern w:val="0"/>
                <w:sz w:val="24"/>
              </w:rPr>
            </w:pPr>
            <w:r w:rsidRPr="00BB09F9">
              <w:rPr>
                <w:kern w:val="0"/>
                <w:sz w:val="24"/>
              </w:rPr>
              <w:t xml:space="preserve"> </w:t>
            </w:r>
            <w:r w:rsidRPr="00BB09F9">
              <w:rPr>
                <w:kern w:val="0"/>
                <w:sz w:val="24"/>
              </w:rPr>
              <w:t>贯彻高质量发展理念，充分利用两个上市公司整合的优势，定位</w:t>
            </w:r>
            <w:r w:rsidRPr="00BB09F9">
              <w:rPr>
                <w:kern w:val="0"/>
                <w:sz w:val="24"/>
              </w:rPr>
              <w:t>“</w:t>
            </w:r>
            <w:r w:rsidRPr="00BB09F9">
              <w:rPr>
                <w:kern w:val="0"/>
                <w:sz w:val="24"/>
              </w:rPr>
              <w:t>城市运营商与美好生活服务商</w:t>
            </w:r>
            <w:r w:rsidRPr="00BB09F9">
              <w:rPr>
                <w:kern w:val="0"/>
                <w:sz w:val="24"/>
              </w:rPr>
              <w:t>”</w:t>
            </w:r>
            <w:r w:rsidRPr="00BB09F9">
              <w:rPr>
                <w:kern w:val="0"/>
                <w:sz w:val="24"/>
              </w:rPr>
              <w:t>的战略方向，</w:t>
            </w:r>
            <w:r w:rsidR="00446D96" w:rsidRPr="00BB09F9">
              <w:rPr>
                <w:rFonts w:hint="eastAsia"/>
                <w:kern w:val="0"/>
                <w:sz w:val="24"/>
              </w:rPr>
              <w:t>坚持“住宅</w:t>
            </w:r>
            <w:r w:rsidR="00446D96" w:rsidRPr="00BB09F9">
              <w:rPr>
                <w:rFonts w:hint="eastAsia"/>
                <w:kern w:val="0"/>
                <w:sz w:val="24"/>
              </w:rPr>
              <w:t>+</w:t>
            </w:r>
            <w:r w:rsidR="00446D96" w:rsidRPr="00BB09F9">
              <w:rPr>
                <w:rFonts w:hint="eastAsia"/>
                <w:kern w:val="0"/>
                <w:sz w:val="24"/>
              </w:rPr>
              <w:t>商业”的双线“双轮双核”发展模式，以“持有</w:t>
            </w:r>
            <w:r w:rsidR="00446D96" w:rsidRPr="00BB09F9">
              <w:rPr>
                <w:rFonts w:hint="eastAsia"/>
                <w:kern w:val="0"/>
                <w:sz w:val="24"/>
              </w:rPr>
              <w:t>+</w:t>
            </w:r>
            <w:r w:rsidR="00446D96" w:rsidRPr="00BB09F9">
              <w:rPr>
                <w:rFonts w:hint="eastAsia"/>
                <w:kern w:val="0"/>
                <w:sz w:val="24"/>
              </w:rPr>
              <w:t>销售”双轮驱动，稳健发展；以“产品</w:t>
            </w:r>
            <w:r w:rsidR="00446D96" w:rsidRPr="00BB09F9">
              <w:rPr>
                <w:rFonts w:hint="eastAsia"/>
                <w:kern w:val="0"/>
                <w:sz w:val="24"/>
              </w:rPr>
              <w:t>+</w:t>
            </w:r>
            <w:r w:rsidR="00446D96" w:rsidRPr="00BB09F9">
              <w:rPr>
                <w:rFonts w:hint="eastAsia"/>
                <w:kern w:val="0"/>
                <w:sz w:val="24"/>
              </w:rPr>
              <w:t>服务”双核赋能，不断创造新的价值增长点</w:t>
            </w:r>
            <w:r w:rsidRPr="00BB09F9">
              <w:rPr>
                <w:kern w:val="0"/>
                <w:sz w:val="24"/>
              </w:rPr>
              <w:t>，商业地产确保领先地位，销售型业务确保稳健增长，实现行业</w:t>
            </w:r>
            <w:r w:rsidRPr="00BB09F9">
              <w:rPr>
                <w:kern w:val="0"/>
                <w:sz w:val="24"/>
              </w:rPr>
              <w:lastRenderedPageBreak/>
              <w:t>地位稳中有升，经营回报稳中向好。坚持精准投资、科学运营、力控风险、良好回报，力争成为最</w:t>
            </w:r>
            <w:proofErr w:type="gramStart"/>
            <w:r w:rsidRPr="00BB09F9">
              <w:rPr>
                <w:kern w:val="0"/>
                <w:sz w:val="24"/>
              </w:rPr>
              <w:t>具持续</w:t>
            </w:r>
            <w:proofErr w:type="gramEnd"/>
            <w:r w:rsidRPr="00BB09F9">
              <w:rPr>
                <w:kern w:val="0"/>
                <w:sz w:val="24"/>
              </w:rPr>
              <w:t>发展能力城市美好生活创造者，为城市创造永续价值，为人民创造美好幸福生活。</w:t>
            </w:r>
          </w:p>
          <w:p w:rsidR="00EB7853" w:rsidRPr="00BB09F9" w:rsidRDefault="00446D96" w:rsidP="00313EF4">
            <w:pPr>
              <w:spacing w:line="360" w:lineRule="auto"/>
              <w:ind w:firstLineChars="150" w:firstLine="361"/>
              <w:rPr>
                <w:rFonts w:ascii="STXihei" w:eastAsiaTheme="minorEastAsia" w:hAnsi="STXihei" w:cs="STXihei" w:hint="eastAsia"/>
                <w:b/>
                <w:sz w:val="24"/>
              </w:rPr>
            </w:pPr>
            <w:r w:rsidRPr="00BB09F9">
              <w:rPr>
                <w:rFonts w:ascii="STXihei" w:eastAsiaTheme="minorEastAsia" w:hAnsi="STXihei" w:cs="STXihei" w:hint="eastAsia"/>
                <w:b/>
                <w:sz w:val="24"/>
              </w:rPr>
              <w:t>（二）</w:t>
            </w:r>
            <w:r w:rsidRPr="00BB09F9">
              <w:rPr>
                <w:rFonts w:ascii="宋体" w:hAnsi="宋体" w:cs="Helvetica" w:hint="eastAsia"/>
                <w:b/>
                <w:bCs/>
                <w:kern w:val="0"/>
                <w:sz w:val="24"/>
              </w:rPr>
              <w:t>2019年上半年经营情况</w:t>
            </w:r>
          </w:p>
          <w:p w:rsidR="00126D9A" w:rsidRDefault="00126D9A" w:rsidP="00313EF4">
            <w:pPr>
              <w:spacing w:before="40" w:after="40" w:line="360" w:lineRule="auto"/>
              <w:ind w:firstLineChars="200" w:firstLine="480"/>
              <w:rPr>
                <w:kern w:val="0"/>
                <w:sz w:val="24"/>
              </w:rPr>
            </w:pPr>
            <w:r>
              <w:rPr>
                <w:rFonts w:hint="eastAsia"/>
                <w:kern w:val="0"/>
                <w:sz w:val="24"/>
              </w:rPr>
              <w:t>2019</w:t>
            </w:r>
            <w:r>
              <w:rPr>
                <w:rFonts w:hint="eastAsia"/>
                <w:kern w:val="0"/>
                <w:sz w:val="24"/>
              </w:rPr>
              <w:t>年上半年，</w:t>
            </w:r>
            <w:r w:rsidRPr="00F30985">
              <w:rPr>
                <w:rFonts w:hint="eastAsia"/>
                <w:kern w:val="0"/>
                <w:sz w:val="24"/>
              </w:rPr>
              <w:t>公司继续巩固提升大悦</w:t>
            </w:r>
            <w:proofErr w:type="gramStart"/>
            <w:r w:rsidRPr="00F30985">
              <w:rPr>
                <w:rFonts w:hint="eastAsia"/>
                <w:kern w:val="0"/>
                <w:sz w:val="24"/>
              </w:rPr>
              <w:t>城品牌</w:t>
            </w:r>
            <w:proofErr w:type="gramEnd"/>
            <w:r w:rsidRPr="00F30985">
              <w:rPr>
                <w:rFonts w:hint="eastAsia"/>
                <w:kern w:val="0"/>
                <w:sz w:val="24"/>
              </w:rPr>
              <w:t>影响力和商业地产行业优势</w:t>
            </w:r>
            <w:r>
              <w:rPr>
                <w:rFonts w:hint="eastAsia"/>
                <w:kern w:val="0"/>
                <w:sz w:val="24"/>
              </w:rPr>
              <w:t>，</w:t>
            </w:r>
            <w:r w:rsidRPr="00F30985">
              <w:rPr>
                <w:rFonts w:hint="eastAsia"/>
                <w:kern w:val="0"/>
                <w:sz w:val="24"/>
              </w:rPr>
              <w:t>推动</w:t>
            </w:r>
            <w:r w:rsidRPr="00F30985">
              <w:rPr>
                <w:kern w:val="0"/>
                <w:sz w:val="24"/>
              </w:rPr>
              <w:t>4</w:t>
            </w:r>
            <w:r w:rsidRPr="00F30985">
              <w:rPr>
                <w:rFonts w:hint="eastAsia"/>
                <w:kern w:val="0"/>
                <w:sz w:val="24"/>
              </w:rPr>
              <w:t>个“大悦春风里”项目在北京、苏州、青岛等城市落地</w:t>
            </w:r>
            <w:r>
              <w:rPr>
                <w:rFonts w:hint="eastAsia"/>
                <w:kern w:val="0"/>
                <w:sz w:val="24"/>
              </w:rPr>
              <w:t>；</w:t>
            </w:r>
            <w:r w:rsidRPr="00F30985">
              <w:rPr>
                <w:rFonts w:hint="eastAsia"/>
                <w:kern w:val="0"/>
                <w:sz w:val="24"/>
              </w:rPr>
              <w:t>公司以“精准投资”为纲，累计获取</w:t>
            </w:r>
            <w:r w:rsidRPr="00F30985">
              <w:rPr>
                <w:kern w:val="0"/>
                <w:sz w:val="24"/>
              </w:rPr>
              <w:t>9</w:t>
            </w:r>
            <w:r w:rsidRPr="00F30985">
              <w:rPr>
                <w:rFonts w:hint="eastAsia"/>
                <w:kern w:val="0"/>
                <w:sz w:val="24"/>
              </w:rPr>
              <w:t>宗地块，总计</w:t>
            </w:r>
            <w:proofErr w:type="gramStart"/>
            <w:r w:rsidRPr="00F30985">
              <w:rPr>
                <w:rFonts w:hint="eastAsia"/>
                <w:kern w:val="0"/>
                <w:sz w:val="24"/>
              </w:rPr>
              <w:t>容面积</w:t>
            </w:r>
            <w:proofErr w:type="gramEnd"/>
            <w:r w:rsidRPr="00F30985">
              <w:rPr>
                <w:kern w:val="0"/>
                <w:sz w:val="24"/>
              </w:rPr>
              <w:t>1</w:t>
            </w:r>
            <w:r w:rsidRPr="00F30985">
              <w:rPr>
                <w:rFonts w:hint="eastAsia"/>
                <w:kern w:val="0"/>
                <w:sz w:val="24"/>
              </w:rPr>
              <w:t>03.38</w:t>
            </w:r>
            <w:r w:rsidRPr="00F30985">
              <w:rPr>
                <w:rFonts w:hint="eastAsia"/>
                <w:kern w:val="0"/>
                <w:sz w:val="24"/>
              </w:rPr>
              <w:t>万平方米，</w:t>
            </w:r>
            <w:r w:rsidRPr="00F30985">
              <w:rPr>
                <w:kern w:val="0"/>
                <w:sz w:val="24"/>
              </w:rPr>
              <w:t>7-8</w:t>
            </w:r>
            <w:r w:rsidRPr="00F30985">
              <w:rPr>
                <w:rFonts w:hint="eastAsia"/>
                <w:kern w:val="0"/>
                <w:sz w:val="24"/>
              </w:rPr>
              <w:t>月份又在昆明、台州、江门和沈阳新增了</w:t>
            </w:r>
            <w:r w:rsidRPr="00F30985">
              <w:rPr>
                <w:kern w:val="0"/>
                <w:sz w:val="24"/>
              </w:rPr>
              <w:t>4</w:t>
            </w:r>
            <w:r w:rsidRPr="00F30985">
              <w:rPr>
                <w:rFonts w:hint="eastAsia"/>
                <w:kern w:val="0"/>
                <w:sz w:val="24"/>
              </w:rPr>
              <w:t>个项目，总计</w:t>
            </w:r>
            <w:proofErr w:type="gramStart"/>
            <w:r w:rsidRPr="00F30985">
              <w:rPr>
                <w:rFonts w:hint="eastAsia"/>
                <w:kern w:val="0"/>
                <w:sz w:val="24"/>
              </w:rPr>
              <w:t>容面积</w:t>
            </w:r>
            <w:proofErr w:type="gramEnd"/>
            <w:r w:rsidRPr="00F30985">
              <w:rPr>
                <w:kern w:val="0"/>
                <w:sz w:val="24"/>
              </w:rPr>
              <w:t>138.62</w:t>
            </w:r>
            <w:r w:rsidRPr="00F30985">
              <w:rPr>
                <w:rFonts w:hint="eastAsia"/>
                <w:kern w:val="0"/>
                <w:sz w:val="24"/>
              </w:rPr>
              <w:t>万平方米</w:t>
            </w:r>
            <w:r>
              <w:rPr>
                <w:rFonts w:hint="eastAsia"/>
                <w:kern w:val="0"/>
                <w:sz w:val="24"/>
              </w:rPr>
              <w:t>；</w:t>
            </w:r>
            <w:r w:rsidRPr="00F30985">
              <w:rPr>
                <w:rFonts w:hint="eastAsia"/>
                <w:kern w:val="0"/>
                <w:sz w:val="24"/>
              </w:rPr>
              <w:t>上半年，通过抓开盘、</w:t>
            </w:r>
            <w:proofErr w:type="gramStart"/>
            <w:r w:rsidRPr="00F30985">
              <w:rPr>
                <w:rFonts w:hint="eastAsia"/>
                <w:kern w:val="0"/>
                <w:sz w:val="24"/>
              </w:rPr>
              <w:t>抓整售</w:t>
            </w:r>
            <w:proofErr w:type="gramEnd"/>
            <w:r w:rsidRPr="00F30985">
              <w:rPr>
                <w:rFonts w:hint="eastAsia"/>
                <w:kern w:val="0"/>
                <w:sz w:val="24"/>
              </w:rPr>
              <w:t>、抓去化，公司实现签约金额（含权益）</w:t>
            </w:r>
            <w:r w:rsidRPr="00F30985">
              <w:rPr>
                <w:kern w:val="0"/>
                <w:sz w:val="24"/>
              </w:rPr>
              <w:t>253.98</w:t>
            </w:r>
            <w:r w:rsidRPr="00F30985">
              <w:rPr>
                <w:rFonts w:hint="eastAsia"/>
                <w:kern w:val="0"/>
                <w:sz w:val="24"/>
              </w:rPr>
              <w:t>亿元，同比增长</w:t>
            </w:r>
            <w:r w:rsidRPr="00F30985">
              <w:rPr>
                <w:kern w:val="0"/>
                <w:sz w:val="24"/>
              </w:rPr>
              <w:t>62.86%</w:t>
            </w:r>
            <w:r w:rsidRPr="00F30985">
              <w:rPr>
                <w:rFonts w:hint="eastAsia"/>
                <w:kern w:val="0"/>
                <w:sz w:val="24"/>
              </w:rPr>
              <w:t>。</w:t>
            </w:r>
          </w:p>
          <w:p w:rsidR="00446D96" w:rsidRPr="00BB09F9" w:rsidRDefault="00BB09F9" w:rsidP="00313EF4">
            <w:pPr>
              <w:spacing w:before="40" w:after="40" w:line="360" w:lineRule="auto"/>
              <w:ind w:firstLineChars="200" w:firstLine="480"/>
              <w:rPr>
                <w:kern w:val="0"/>
                <w:sz w:val="24"/>
              </w:rPr>
            </w:pPr>
            <w:r>
              <w:rPr>
                <w:rFonts w:hint="eastAsia"/>
                <w:kern w:val="0"/>
                <w:sz w:val="24"/>
              </w:rPr>
              <w:t>公司</w:t>
            </w:r>
            <w:r w:rsidRPr="00BB09F9">
              <w:rPr>
                <w:rFonts w:hint="eastAsia"/>
                <w:kern w:val="0"/>
                <w:sz w:val="24"/>
              </w:rPr>
              <w:t>2019</w:t>
            </w:r>
            <w:r w:rsidRPr="00BB09F9">
              <w:rPr>
                <w:rFonts w:hint="eastAsia"/>
                <w:kern w:val="0"/>
                <w:sz w:val="24"/>
              </w:rPr>
              <w:t>年上半年实现营业收入</w:t>
            </w:r>
            <w:r w:rsidRPr="00BB09F9">
              <w:rPr>
                <w:rFonts w:hint="eastAsia"/>
                <w:kern w:val="0"/>
                <w:sz w:val="24"/>
              </w:rPr>
              <w:t>182.71</w:t>
            </w:r>
            <w:r w:rsidRPr="00BB09F9">
              <w:rPr>
                <w:rFonts w:hint="eastAsia"/>
                <w:kern w:val="0"/>
                <w:sz w:val="24"/>
              </w:rPr>
              <w:t>亿元，较上年同期增加</w:t>
            </w:r>
            <w:r w:rsidRPr="00BB09F9">
              <w:rPr>
                <w:rFonts w:hint="eastAsia"/>
                <w:kern w:val="0"/>
                <w:sz w:val="24"/>
              </w:rPr>
              <w:t>102.96%</w:t>
            </w:r>
            <w:r w:rsidRPr="00BB09F9">
              <w:rPr>
                <w:rFonts w:hint="eastAsia"/>
                <w:kern w:val="0"/>
                <w:sz w:val="24"/>
              </w:rPr>
              <w:t>；净利润</w:t>
            </w:r>
            <w:r w:rsidRPr="00BB09F9">
              <w:rPr>
                <w:rFonts w:hint="eastAsia"/>
                <w:kern w:val="0"/>
                <w:sz w:val="24"/>
              </w:rPr>
              <w:t>29.88</w:t>
            </w:r>
            <w:r w:rsidRPr="00BB09F9">
              <w:rPr>
                <w:rFonts w:hint="eastAsia"/>
                <w:kern w:val="0"/>
                <w:sz w:val="24"/>
              </w:rPr>
              <w:t>亿元，较上年同期增加</w:t>
            </w:r>
            <w:r w:rsidRPr="00BB09F9">
              <w:rPr>
                <w:rFonts w:hint="eastAsia"/>
                <w:kern w:val="0"/>
                <w:sz w:val="24"/>
              </w:rPr>
              <w:t>23.19%</w:t>
            </w:r>
            <w:r w:rsidRPr="00BB09F9">
              <w:rPr>
                <w:rFonts w:hint="eastAsia"/>
                <w:kern w:val="0"/>
                <w:sz w:val="24"/>
              </w:rPr>
              <w:t>，归属于上市公司股东的净利润</w:t>
            </w:r>
            <w:r w:rsidRPr="00BB09F9">
              <w:rPr>
                <w:rFonts w:hint="eastAsia"/>
                <w:kern w:val="0"/>
                <w:sz w:val="24"/>
              </w:rPr>
              <w:t>19.32</w:t>
            </w:r>
            <w:r w:rsidRPr="00BB09F9">
              <w:rPr>
                <w:rFonts w:hint="eastAsia"/>
                <w:kern w:val="0"/>
                <w:sz w:val="24"/>
              </w:rPr>
              <w:t>亿元，较上年同期增加</w:t>
            </w:r>
            <w:r w:rsidRPr="00BB09F9">
              <w:rPr>
                <w:rFonts w:hint="eastAsia"/>
                <w:kern w:val="0"/>
                <w:sz w:val="24"/>
              </w:rPr>
              <w:t>41.97%</w:t>
            </w:r>
            <w:r w:rsidRPr="00BB09F9">
              <w:rPr>
                <w:rFonts w:hint="eastAsia"/>
                <w:kern w:val="0"/>
                <w:sz w:val="24"/>
              </w:rPr>
              <w:t>；基本每股收益</w:t>
            </w:r>
            <w:r w:rsidRPr="00BB09F9">
              <w:rPr>
                <w:rFonts w:hint="eastAsia"/>
                <w:kern w:val="0"/>
                <w:sz w:val="24"/>
              </w:rPr>
              <w:t>0.49</w:t>
            </w:r>
            <w:r w:rsidRPr="00BB09F9">
              <w:rPr>
                <w:rFonts w:hint="eastAsia"/>
                <w:kern w:val="0"/>
                <w:sz w:val="24"/>
              </w:rPr>
              <w:t>元，较上年同期增加</w:t>
            </w:r>
            <w:r w:rsidRPr="00BB09F9">
              <w:rPr>
                <w:rFonts w:hint="eastAsia"/>
                <w:kern w:val="0"/>
                <w:sz w:val="24"/>
              </w:rPr>
              <w:t>40%</w:t>
            </w:r>
            <w:r w:rsidRPr="00BB09F9">
              <w:rPr>
                <w:rFonts w:hint="eastAsia"/>
                <w:kern w:val="0"/>
                <w:sz w:val="24"/>
              </w:rPr>
              <w:t>；加权平均净资产收益率</w:t>
            </w:r>
            <w:r w:rsidRPr="00BB09F9">
              <w:rPr>
                <w:rFonts w:hint="eastAsia"/>
                <w:kern w:val="0"/>
                <w:sz w:val="24"/>
              </w:rPr>
              <w:t>11.83%</w:t>
            </w:r>
            <w:r w:rsidRPr="00BB09F9">
              <w:rPr>
                <w:rFonts w:hint="eastAsia"/>
                <w:kern w:val="0"/>
                <w:sz w:val="24"/>
              </w:rPr>
              <w:t>，较上年增加</w:t>
            </w:r>
            <w:r w:rsidRPr="00BB09F9">
              <w:rPr>
                <w:rFonts w:hint="eastAsia"/>
                <w:kern w:val="0"/>
                <w:sz w:val="24"/>
              </w:rPr>
              <w:t>2.57</w:t>
            </w:r>
            <w:r w:rsidRPr="00BB09F9">
              <w:rPr>
                <w:rFonts w:hint="eastAsia"/>
                <w:kern w:val="0"/>
                <w:sz w:val="24"/>
              </w:rPr>
              <w:t>个百分点</w:t>
            </w:r>
            <w:r>
              <w:rPr>
                <w:rFonts w:hint="eastAsia"/>
                <w:sz w:val="24"/>
                <w:szCs w:val="18"/>
              </w:rPr>
              <w:t>，</w:t>
            </w:r>
            <w:r w:rsidR="00126D9A" w:rsidRPr="00F30985">
              <w:rPr>
                <w:rFonts w:hint="eastAsia"/>
                <w:kern w:val="0"/>
                <w:sz w:val="24"/>
              </w:rPr>
              <w:t>各项指标均较去年同期有显著增长。未来，公司将紧抓行业发展机遇，贯彻高质量发展理念，充分利用两个上市公司整合的优势，力争实现三年销售型业务签约破千亿的目标。</w:t>
            </w:r>
          </w:p>
          <w:p w:rsidR="00EB7853" w:rsidRPr="00EB7853" w:rsidRDefault="00EB7853" w:rsidP="00313EF4">
            <w:pPr>
              <w:spacing w:line="360" w:lineRule="auto"/>
              <w:ind w:firstLineChars="150" w:firstLine="315"/>
              <w:rPr>
                <w:rFonts w:ascii="STXihei" w:eastAsiaTheme="minorEastAsia" w:hAnsi="STXihei" w:cs="STXihei" w:hint="eastAsia"/>
                <w:szCs w:val="28"/>
              </w:rPr>
            </w:pPr>
          </w:p>
          <w:p w:rsidR="00B0595E" w:rsidRPr="00BB09F9" w:rsidRDefault="00EB7853" w:rsidP="00313EF4">
            <w:pPr>
              <w:spacing w:line="360" w:lineRule="auto"/>
              <w:ind w:firstLineChars="150" w:firstLine="361"/>
              <w:rPr>
                <w:rFonts w:ascii="STXihei" w:eastAsiaTheme="minorEastAsia" w:hAnsi="STXihei" w:cs="STXihei" w:hint="eastAsia"/>
                <w:b/>
                <w:sz w:val="24"/>
              </w:rPr>
            </w:pPr>
            <w:r w:rsidRPr="00BB09F9">
              <w:rPr>
                <w:rFonts w:ascii="STXihei" w:eastAsiaTheme="minorEastAsia" w:hAnsi="STXihei" w:cs="STXihei" w:hint="eastAsia"/>
                <w:b/>
                <w:sz w:val="24"/>
              </w:rPr>
              <w:t>二、互动问答环节</w:t>
            </w:r>
          </w:p>
          <w:p w:rsidR="00B0595E" w:rsidRPr="00C218A1" w:rsidRDefault="004861B8" w:rsidP="00313EF4">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1、</w:t>
            </w:r>
            <w:r w:rsidR="00C218A1" w:rsidRPr="00C218A1">
              <w:rPr>
                <w:rFonts w:hint="eastAsia"/>
                <w:b/>
                <w:sz w:val="24"/>
              </w:rPr>
              <w:t>公司未来</w:t>
            </w:r>
            <w:r w:rsidR="00C218A1" w:rsidRPr="00C218A1">
              <w:rPr>
                <w:b/>
                <w:sz w:val="24"/>
              </w:rPr>
              <w:t>3-5</w:t>
            </w:r>
            <w:r w:rsidR="00C218A1" w:rsidRPr="00C218A1">
              <w:rPr>
                <w:rFonts w:hint="eastAsia"/>
                <w:b/>
                <w:sz w:val="24"/>
              </w:rPr>
              <w:t>年具体的拿地步骤或计划？</w:t>
            </w:r>
          </w:p>
          <w:p w:rsidR="004861B8" w:rsidRPr="004861B8" w:rsidRDefault="004861B8" w:rsidP="00313EF4">
            <w:pPr>
              <w:spacing w:before="40" w:after="40" w:line="360" w:lineRule="auto"/>
              <w:ind w:firstLineChars="200" w:firstLine="480"/>
              <w:rPr>
                <w:kern w:val="0"/>
                <w:sz w:val="24"/>
              </w:rPr>
            </w:pPr>
            <w:r w:rsidRPr="004861B8">
              <w:rPr>
                <w:rFonts w:hint="eastAsia"/>
                <w:kern w:val="0"/>
                <w:sz w:val="24"/>
              </w:rPr>
              <w:t>公司立足京津冀、长三角、珠三角三大核心城市群，重点关注以长江中游城市群、成渝城市群、一带一路沿线为主的中心城市及高潜力城市，形成了</w:t>
            </w:r>
            <w:r w:rsidRPr="004861B8">
              <w:rPr>
                <w:kern w:val="0"/>
                <w:sz w:val="24"/>
              </w:rPr>
              <w:t>“</w:t>
            </w:r>
            <w:r w:rsidRPr="004861B8">
              <w:rPr>
                <w:rFonts w:hint="eastAsia"/>
                <w:kern w:val="0"/>
                <w:sz w:val="24"/>
              </w:rPr>
              <w:t>一线核心</w:t>
            </w:r>
            <w:r w:rsidRPr="004861B8">
              <w:rPr>
                <w:kern w:val="0"/>
                <w:sz w:val="24"/>
              </w:rPr>
              <w:t>-</w:t>
            </w:r>
            <w:r w:rsidRPr="004861B8">
              <w:rPr>
                <w:rFonts w:hint="eastAsia"/>
                <w:kern w:val="0"/>
                <w:sz w:val="24"/>
              </w:rPr>
              <w:t>二线中心</w:t>
            </w:r>
            <w:r w:rsidRPr="004861B8">
              <w:rPr>
                <w:kern w:val="0"/>
                <w:sz w:val="24"/>
              </w:rPr>
              <w:t>-</w:t>
            </w:r>
            <w:r w:rsidRPr="004861B8">
              <w:rPr>
                <w:rFonts w:hint="eastAsia"/>
                <w:kern w:val="0"/>
                <w:sz w:val="24"/>
              </w:rPr>
              <w:t>三线省域中心</w:t>
            </w:r>
            <w:r w:rsidRPr="004861B8">
              <w:rPr>
                <w:kern w:val="0"/>
                <w:sz w:val="24"/>
              </w:rPr>
              <w:t>”</w:t>
            </w:r>
            <w:r w:rsidRPr="004861B8">
              <w:rPr>
                <w:rFonts w:hint="eastAsia"/>
                <w:kern w:val="0"/>
                <w:sz w:val="24"/>
              </w:rPr>
              <w:t>分布格局。目前已布局</w:t>
            </w:r>
            <w:r w:rsidRPr="004861B8">
              <w:rPr>
                <w:kern w:val="0"/>
                <w:sz w:val="24"/>
              </w:rPr>
              <w:t>30</w:t>
            </w:r>
            <w:r w:rsidRPr="004861B8">
              <w:rPr>
                <w:rFonts w:hint="eastAsia"/>
                <w:kern w:val="0"/>
                <w:sz w:val="24"/>
              </w:rPr>
              <w:t>个城市，未来三年将扩张到</w:t>
            </w:r>
            <w:r w:rsidRPr="004861B8">
              <w:rPr>
                <w:kern w:val="0"/>
                <w:sz w:val="24"/>
              </w:rPr>
              <w:t>50</w:t>
            </w:r>
            <w:r w:rsidRPr="004861B8">
              <w:rPr>
                <w:rFonts w:hint="eastAsia"/>
                <w:kern w:val="0"/>
                <w:sz w:val="24"/>
              </w:rPr>
              <w:t>个左右城市。</w:t>
            </w:r>
          </w:p>
          <w:p w:rsidR="004861B8" w:rsidRPr="004861B8" w:rsidRDefault="004861B8" w:rsidP="00313EF4">
            <w:pPr>
              <w:spacing w:before="40" w:after="40" w:line="360" w:lineRule="auto"/>
              <w:ind w:firstLineChars="200" w:firstLine="480"/>
              <w:rPr>
                <w:kern w:val="0"/>
                <w:sz w:val="24"/>
              </w:rPr>
            </w:pPr>
            <w:r w:rsidRPr="004861B8">
              <w:rPr>
                <w:rFonts w:hint="eastAsia"/>
                <w:kern w:val="0"/>
                <w:sz w:val="24"/>
              </w:rPr>
              <w:t>未来，公司还将通过以下方式积极获取优质的土地储备：一是通过集团存量资源盘活获取土地。公司拥有中粮集团的强大资源支持，中粮集团作为国内最大的粮油食品企业，拥有大量港口、码头</w:t>
            </w:r>
            <w:r w:rsidRPr="004861B8">
              <w:rPr>
                <w:rFonts w:hint="eastAsia"/>
                <w:kern w:val="0"/>
                <w:sz w:val="24"/>
              </w:rPr>
              <w:lastRenderedPageBreak/>
              <w:t>和园区资源，土地储备丰富，随着退二进三、园区改造的需要，会产生大量的存量土地资源，这些资源的盘活将为我们提供大量优质土储。二是通过城市更新获取土地。公司在粤港澳大湾区核心城市深圳、广州等拥有众多城市更新项目，未来通过城市更新方式将获取到优质的土地储备。三是利用产业整合能力获取土地。四是利用大悦城品牌优势获取成规模的优质土储。五是利用产业整合和较强的片区开发能力</w:t>
            </w:r>
            <w:r w:rsidRPr="004861B8">
              <w:rPr>
                <w:kern w:val="0"/>
                <w:sz w:val="24"/>
              </w:rPr>
              <w:t>获取土储。</w:t>
            </w:r>
          </w:p>
          <w:p w:rsidR="00BB09F9" w:rsidRPr="004861B8" w:rsidRDefault="00BB09F9" w:rsidP="00313EF4">
            <w:pPr>
              <w:spacing w:before="40" w:after="40" w:line="360" w:lineRule="auto"/>
              <w:ind w:firstLineChars="200" w:firstLine="480"/>
              <w:rPr>
                <w:kern w:val="0"/>
                <w:sz w:val="24"/>
              </w:rPr>
            </w:pPr>
          </w:p>
          <w:p w:rsidR="00BB09F9" w:rsidRDefault="007508FA" w:rsidP="00313EF4">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2、</w:t>
            </w:r>
            <w:r w:rsidR="004717CB">
              <w:rPr>
                <w:rFonts w:asciiTheme="majorEastAsia" w:eastAsiaTheme="majorEastAsia" w:hAnsiTheme="majorEastAsia" w:hint="eastAsia"/>
                <w:b/>
                <w:bCs/>
                <w:iCs/>
                <w:color w:val="000000"/>
                <w:kern w:val="0"/>
                <w:sz w:val="24"/>
              </w:rPr>
              <w:t>公司</w:t>
            </w:r>
            <w:proofErr w:type="gramStart"/>
            <w:r w:rsidR="004717CB" w:rsidRPr="004717CB">
              <w:rPr>
                <w:rFonts w:asciiTheme="majorEastAsia" w:eastAsiaTheme="majorEastAsia" w:hAnsiTheme="majorEastAsia"/>
                <w:b/>
                <w:bCs/>
                <w:iCs/>
                <w:color w:val="000000"/>
                <w:kern w:val="0"/>
                <w:sz w:val="24"/>
              </w:rPr>
              <w:t>入选发改委</w:t>
            </w:r>
            <w:proofErr w:type="gramEnd"/>
            <w:r w:rsidR="004717CB" w:rsidRPr="004717CB">
              <w:rPr>
                <w:rFonts w:asciiTheme="majorEastAsia" w:eastAsiaTheme="majorEastAsia" w:hAnsiTheme="majorEastAsia"/>
                <w:b/>
                <w:bCs/>
                <w:iCs/>
                <w:color w:val="000000"/>
                <w:kern w:val="0"/>
                <w:sz w:val="24"/>
              </w:rPr>
              <w:t>“混改试点”的</w:t>
            </w:r>
            <w:r w:rsidR="00012DE1">
              <w:rPr>
                <w:rFonts w:asciiTheme="majorEastAsia" w:eastAsiaTheme="majorEastAsia" w:hAnsiTheme="majorEastAsia" w:hint="eastAsia"/>
                <w:b/>
                <w:bCs/>
                <w:iCs/>
                <w:color w:val="000000"/>
                <w:kern w:val="0"/>
                <w:sz w:val="24"/>
              </w:rPr>
              <w:t>情况</w:t>
            </w:r>
            <w:r w:rsidR="004717CB">
              <w:rPr>
                <w:rFonts w:asciiTheme="majorEastAsia" w:eastAsiaTheme="majorEastAsia" w:hAnsiTheme="majorEastAsia" w:hint="eastAsia"/>
                <w:b/>
                <w:bCs/>
                <w:iCs/>
                <w:color w:val="000000"/>
                <w:kern w:val="0"/>
                <w:sz w:val="24"/>
              </w:rPr>
              <w:t>？</w:t>
            </w:r>
            <w:r w:rsidRPr="007508FA">
              <w:rPr>
                <w:rFonts w:asciiTheme="majorEastAsia" w:eastAsiaTheme="majorEastAsia" w:hAnsiTheme="majorEastAsia"/>
                <w:b/>
                <w:bCs/>
                <w:iCs/>
                <w:color w:val="000000"/>
                <w:kern w:val="0"/>
                <w:sz w:val="24"/>
              </w:rPr>
              <w:t>混合所有制改革中，</w:t>
            </w:r>
            <w:r>
              <w:rPr>
                <w:rFonts w:asciiTheme="majorEastAsia" w:eastAsiaTheme="majorEastAsia" w:hAnsiTheme="majorEastAsia" w:hint="eastAsia"/>
                <w:b/>
                <w:bCs/>
                <w:iCs/>
                <w:color w:val="000000"/>
                <w:kern w:val="0"/>
                <w:sz w:val="24"/>
              </w:rPr>
              <w:t>公司</w:t>
            </w:r>
            <w:r w:rsidRPr="007508FA">
              <w:rPr>
                <w:rFonts w:asciiTheme="majorEastAsia" w:eastAsiaTheme="majorEastAsia" w:hAnsiTheme="majorEastAsia"/>
                <w:b/>
                <w:bCs/>
                <w:iCs/>
                <w:color w:val="000000"/>
                <w:kern w:val="0"/>
                <w:sz w:val="24"/>
              </w:rPr>
              <w:t>考虑的潜在战略投资者的类型是什么？</w:t>
            </w:r>
          </w:p>
          <w:p w:rsidR="00012DE1" w:rsidRDefault="00012DE1" w:rsidP="00313EF4">
            <w:pPr>
              <w:autoSpaceDE w:val="0"/>
              <w:autoSpaceDN w:val="0"/>
              <w:adjustRightInd w:val="0"/>
              <w:spacing w:line="360" w:lineRule="auto"/>
              <w:ind w:firstLineChars="200" w:firstLine="480"/>
              <w:jc w:val="left"/>
              <w:rPr>
                <w:rFonts w:hint="eastAsia"/>
                <w:kern w:val="0"/>
                <w:sz w:val="24"/>
              </w:rPr>
            </w:pPr>
            <w:r w:rsidRPr="0068665C">
              <w:rPr>
                <w:rFonts w:ascii="宋体" w:hAnsi="宋体" w:hint="eastAsia"/>
                <w:sz w:val="24"/>
              </w:rPr>
              <w:t>目前</w:t>
            </w:r>
            <w:r>
              <w:rPr>
                <w:rFonts w:ascii="宋体" w:hAnsi="宋体" w:hint="eastAsia"/>
                <w:sz w:val="24"/>
              </w:rPr>
              <w:t>公司</w:t>
            </w:r>
            <w:r w:rsidRPr="0068665C">
              <w:rPr>
                <w:rFonts w:ascii="宋体" w:hAnsi="宋体" w:hint="eastAsia"/>
                <w:sz w:val="24"/>
              </w:rPr>
              <w:t>已列入国资委“双百企业”</w:t>
            </w:r>
            <w:r w:rsidR="00313EF4">
              <w:rPr>
                <w:rFonts w:ascii="宋体" w:hAnsi="宋体" w:hint="eastAsia"/>
                <w:sz w:val="24"/>
              </w:rPr>
              <w:t>名单</w:t>
            </w:r>
            <w:r>
              <w:rPr>
                <w:rFonts w:ascii="宋体" w:hAnsi="宋体" w:hint="eastAsia"/>
                <w:sz w:val="24"/>
              </w:rPr>
              <w:t>、</w:t>
            </w:r>
            <w:proofErr w:type="gramStart"/>
            <w:r>
              <w:rPr>
                <w:rFonts w:ascii="宋体" w:hAnsi="宋体" w:hint="eastAsia"/>
                <w:sz w:val="24"/>
              </w:rPr>
              <w:t>发改委</w:t>
            </w:r>
            <w:proofErr w:type="gramEnd"/>
            <w:r>
              <w:rPr>
                <w:rFonts w:ascii="宋体" w:hAnsi="宋体" w:hint="eastAsia"/>
                <w:sz w:val="24"/>
              </w:rPr>
              <w:t>“混改试点”</w:t>
            </w:r>
            <w:r w:rsidRPr="0068665C">
              <w:rPr>
                <w:rFonts w:ascii="宋体" w:hAnsi="宋体" w:hint="eastAsia"/>
                <w:sz w:val="24"/>
              </w:rPr>
              <w:t>，公司将积</w:t>
            </w:r>
            <w:r w:rsidRPr="001D0C7E">
              <w:rPr>
                <w:rFonts w:ascii="宋体" w:hAnsi="宋体" w:hint="eastAsia"/>
                <w:sz w:val="24"/>
              </w:rPr>
              <w:t>极争取政策支持，加</w:t>
            </w:r>
            <w:r w:rsidRPr="0068665C">
              <w:rPr>
                <w:rFonts w:ascii="宋体" w:hAnsi="宋体" w:hint="eastAsia"/>
                <w:sz w:val="24"/>
              </w:rPr>
              <w:t>大体制</w:t>
            </w:r>
            <w:r>
              <w:rPr>
                <w:rFonts w:ascii="宋体" w:hAnsi="宋体" w:hint="eastAsia"/>
                <w:sz w:val="24"/>
              </w:rPr>
              <w:t>改革</w:t>
            </w:r>
            <w:r w:rsidRPr="0068665C">
              <w:rPr>
                <w:rFonts w:ascii="宋体" w:hAnsi="宋体" w:hint="eastAsia"/>
                <w:sz w:val="24"/>
              </w:rPr>
              <w:t>和激励的力度，结合市场环境和公司经营发展需要，在合法合</w:t>
            </w:r>
            <w:proofErr w:type="gramStart"/>
            <w:r w:rsidRPr="0068665C">
              <w:rPr>
                <w:rFonts w:ascii="宋体" w:hAnsi="宋体" w:hint="eastAsia"/>
                <w:sz w:val="24"/>
              </w:rPr>
              <w:t>规</w:t>
            </w:r>
            <w:proofErr w:type="gramEnd"/>
            <w:r w:rsidRPr="0068665C">
              <w:rPr>
                <w:rFonts w:ascii="宋体" w:hAnsi="宋体" w:hint="eastAsia"/>
                <w:sz w:val="24"/>
              </w:rPr>
              <w:t>的前提下加速推进员工持股等绩效激励工作。</w:t>
            </w:r>
          </w:p>
          <w:p w:rsidR="007508FA" w:rsidRPr="00282D2F" w:rsidRDefault="007508FA" w:rsidP="00313EF4">
            <w:pPr>
              <w:autoSpaceDE w:val="0"/>
              <w:autoSpaceDN w:val="0"/>
              <w:adjustRightInd w:val="0"/>
              <w:spacing w:line="360" w:lineRule="auto"/>
              <w:ind w:firstLineChars="200" w:firstLine="480"/>
              <w:jc w:val="left"/>
              <w:rPr>
                <w:kern w:val="0"/>
                <w:sz w:val="24"/>
              </w:rPr>
            </w:pPr>
            <w:r w:rsidRPr="004717CB">
              <w:rPr>
                <w:rFonts w:hint="eastAsia"/>
                <w:kern w:val="0"/>
                <w:sz w:val="24"/>
              </w:rPr>
              <w:t>在混</w:t>
            </w:r>
            <w:proofErr w:type="gramStart"/>
            <w:r w:rsidRPr="004717CB">
              <w:rPr>
                <w:rFonts w:hint="eastAsia"/>
                <w:kern w:val="0"/>
                <w:sz w:val="24"/>
              </w:rPr>
              <w:t>改过程</w:t>
            </w:r>
            <w:proofErr w:type="gramEnd"/>
            <w:r w:rsidRPr="004717CB">
              <w:rPr>
                <w:rFonts w:hint="eastAsia"/>
                <w:kern w:val="0"/>
                <w:sz w:val="24"/>
              </w:rPr>
              <w:t>中，公司未来将选择</w:t>
            </w:r>
            <w:r w:rsidRPr="00282D2F">
              <w:rPr>
                <w:kern w:val="0"/>
                <w:sz w:val="24"/>
              </w:rPr>
              <w:t>认同</w:t>
            </w:r>
            <w:r w:rsidRPr="004717CB">
              <w:rPr>
                <w:rFonts w:hint="eastAsia"/>
                <w:kern w:val="0"/>
                <w:sz w:val="24"/>
              </w:rPr>
              <w:t>公司</w:t>
            </w:r>
            <w:r w:rsidRPr="00282D2F">
              <w:rPr>
                <w:kern w:val="0"/>
                <w:sz w:val="24"/>
              </w:rPr>
              <w:t>长远战略和长期利益，具有良好的财务状况、支付能力和商业信誉，在提升公司战略决策、经营管理能力等方面能给予</w:t>
            </w:r>
            <w:r w:rsidRPr="004717CB">
              <w:rPr>
                <w:rFonts w:hint="eastAsia"/>
                <w:kern w:val="0"/>
                <w:sz w:val="24"/>
              </w:rPr>
              <w:t>公司</w:t>
            </w:r>
            <w:r w:rsidRPr="00282D2F">
              <w:rPr>
                <w:kern w:val="0"/>
                <w:sz w:val="24"/>
              </w:rPr>
              <w:t>一定的支持和帮助</w:t>
            </w:r>
            <w:r w:rsidRPr="004717CB">
              <w:rPr>
                <w:rFonts w:hint="eastAsia"/>
                <w:kern w:val="0"/>
                <w:sz w:val="24"/>
              </w:rPr>
              <w:t>的战略投资者</w:t>
            </w:r>
            <w:r w:rsidRPr="00282D2F">
              <w:rPr>
                <w:kern w:val="0"/>
                <w:sz w:val="24"/>
              </w:rPr>
              <w:t>。</w:t>
            </w:r>
          </w:p>
          <w:p w:rsidR="00BB09F9" w:rsidRPr="004717CB" w:rsidRDefault="00BB09F9" w:rsidP="00313EF4">
            <w:pPr>
              <w:adjustRightInd w:val="0"/>
              <w:snapToGrid w:val="0"/>
              <w:spacing w:line="360" w:lineRule="auto"/>
              <w:ind w:firstLine="482"/>
              <w:rPr>
                <w:kern w:val="0"/>
                <w:sz w:val="24"/>
              </w:rPr>
            </w:pPr>
          </w:p>
          <w:p w:rsidR="008B1576" w:rsidRPr="008B1576" w:rsidRDefault="004717CB" w:rsidP="00313EF4">
            <w:pPr>
              <w:pStyle w:val="Default"/>
              <w:spacing w:line="360" w:lineRule="auto"/>
              <w:ind w:firstLineChars="200" w:firstLine="482"/>
              <w:rPr>
                <w:rFonts w:asciiTheme="majorEastAsia" w:eastAsiaTheme="majorEastAsia" w:hAnsiTheme="majorEastAsia" w:cs="Times New Roman"/>
                <w:b/>
                <w:bCs/>
                <w:iCs/>
              </w:rPr>
            </w:pPr>
            <w:r>
              <w:rPr>
                <w:rFonts w:asciiTheme="majorEastAsia" w:eastAsiaTheme="majorEastAsia" w:hAnsiTheme="majorEastAsia" w:hint="eastAsia"/>
                <w:b/>
                <w:bCs/>
                <w:iCs/>
              </w:rPr>
              <w:t>3</w:t>
            </w:r>
            <w:r w:rsidRPr="008B1576">
              <w:rPr>
                <w:rFonts w:asciiTheme="majorEastAsia" w:eastAsiaTheme="majorEastAsia" w:hAnsiTheme="majorEastAsia" w:cs="Times New Roman" w:hint="eastAsia"/>
                <w:b/>
                <w:bCs/>
                <w:iCs/>
              </w:rPr>
              <w:t>、</w:t>
            </w:r>
            <w:r w:rsidR="008B1576" w:rsidRPr="008B1576">
              <w:rPr>
                <w:rFonts w:asciiTheme="majorEastAsia" w:eastAsiaTheme="majorEastAsia" w:hAnsiTheme="majorEastAsia" w:cs="Times New Roman" w:hint="eastAsia"/>
                <w:b/>
                <w:bCs/>
                <w:iCs/>
              </w:rPr>
              <w:t>大悦城</w:t>
            </w:r>
            <w:r w:rsidR="008B1576" w:rsidRPr="008B1576">
              <w:rPr>
                <w:rFonts w:asciiTheme="majorEastAsia" w:eastAsiaTheme="majorEastAsia" w:hAnsiTheme="majorEastAsia" w:cs="Times New Roman"/>
                <w:b/>
                <w:bCs/>
                <w:iCs/>
              </w:rPr>
              <w:t>商业与基金合作的情况</w:t>
            </w:r>
            <w:r w:rsidR="008B1576" w:rsidRPr="008B1576">
              <w:rPr>
                <w:rFonts w:asciiTheme="majorEastAsia" w:eastAsiaTheme="majorEastAsia" w:hAnsiTheme="majorEastAsia" w:cs="Times New Roman" w:hint="eastAsia"/>
                <w:b/>
                <w:bCs/>
                <w:iCs/>
              </w:rPr>
              <w:t>？</w:t>
            </w:r>
            <w:r w:rsidR="008B1576" w:rsidRPr="008B1576">
              <w:rPr>
                <w:rFonts w:asciiTheme="majorEastAsia" w:eastAsiaTheme="majorEastAsia" w:hAnsiTheme="majorEastAsia" w:cs="Times New Roman"/>
                <w:b/>
                <w:bCs/>
                <w:iCs/>
              </w:rPr>
              <w:t>大悦城如何平衡轻重资产之间的关系？未来有怎样的</w:t>
            </w:r>
            <w:proofErr w:type="gramStart"/>
            <w:r w:rsidR="008B1576" w:rsidRPr="008B1576">
              <w:rPr>
                <w:rFonts w:asciiTheme="majorEastAsia" w:eastAsiaTheme="majorEastAsia" w:hAnsiTheme="majorEastAsia" w:cs="Times New Roman"/>
                <w:b/>
                <w:bCs/>
                <w:iCs/>
              </w:rPr>
              <w:t>大资管</w:t>
            </w:r>
            <w:proofErr w:type="gramEnd"/>
            <w:r w:rsidR="008B1576" w:rsidRPr="008B1576">
              <w:rPr>
                <w:rFonts w:asciiTheme="majorEastAsia" w:eastAsiaTheme="majorEastAsia" w:hAnsiTheme="majorEastAsia" w:cs="Times New Roman"/>
                <w:b/>
                <w:bCs/>
                <w:iCs/>
              </w:rPr>
              <w:t>思路？</w:t>
            </w:r>
          </w:p>
          <w:p w:rsidR="008B1576" w:rsidRPr="00BD21BB" w:rsidRDefault="008B1576" w:rsidP="00313EF4">
            <w:pPr>
              <w:adjustRightInd w:val="0"/>
              <w:snapToGrid w:val="0"/>
              <w:spacing w:line="360" w:lineRule="auto"/>
              <w:ind w:firstLine="482"/>
              <w:rPr>
                <w:rFonts w:asciiTheme="majorEastAsia" w:eastAsiaTheme="majorEastAsia" w:hAnsiTheme="majorEastAsia"/>
                <w:bCs/>
                <w:iCs/>
                <w:color w:val="000000"/>
                <w:kern w:val="0"/>
                <w:sz w:val="24"/>
              </w:rPr>
            </w:pPr>
            <w:r w:rsidRPr="00BD21BB">
              <w:rPr>
                <w:rFonts w:asciiTheme="majorEastAsia" w:eastAsiaTheme="majorEastAsia" w:hAnsiTheme="majorEastAsia" w:hint="eastAsia"/>
                <w:bCs/>
                <w:iCs/>
                <w:color w:val="000000"/>
                <w:kern w:val="0"/>
                <w:sz w:val="24"/>
              </w:rPr>
              <w:t>目前大悦城地产有3</w:t>
            </w:r>
            <w:r w:rsidR="009F5925">
              <w:rPr>
                <w:rFonts w:asciiTheme="majorEastAsia" w:eastAsiaTheme="majorEastAsia" w:hAnsiTheme="majorEastAsia" w:hint="eastAsia"/>
                <w:bCs/>
                <w:iCs/>
                <w:color w:val="000000"/>
                <w:kern w:val="0"/>
                <w:sz w:val="24"/>
              </w:rPr>
              <w:t>只房地产基金</w:t>
            </w:r>
            <w:r w:rsidR="00A66538">
              <w:rPr>
                <w:rFonts w:asciiTheme="majorEastAsia" w:eastAsiaTheme="majorEastAsia" w:hAnsiTheme="majorEastAsia" w:hint="eastAsia"/>
                <w:bCs/>
                <w:iCs/>
                <w:color w:val="000000"/>
                <w:kern w:val="0"/>
                <w:sz w:val="24"/>
              </w:rPr>
              <w:t>。</w:t>
            </w:r>
            <w:r>
              <w:rPr>
                <w:rFonts w:asciiTheme="majorEastAsia" w:eastAsiaTheme="majorEastAsia" w:hAnsiTheme="majorEastAsia" w:hint="eastAsia"/>
                <w:bCs/>
                <w:iCs/>
                <w:color w:val="000000"/>
                <w:kern w:val="0"/>
                <w:sz w:val="24"/>
              </w:rPr>
              <w:t>公</w:t>
            </w:r>
            <w:r w:rsidRPr="008B1576">
              <w:rPr>
                <w:rFonts w:asciiTheme="majorEastAsia" w:eastAsiaTheme="majorEastAsia" w:hAnsiTheme="majorEastAsia"/>
                <w:bCs/>
                <w:iCs/>
                <w:color w:val="000000"/>
                <w:kern w:val="0"/>
                <w:sz w:val="24"/>
              </w:rPr>
              <w:t>司已与GIC等合作伙伴开展了轻资产模式合作，实现管理输出，</w:t>
            </w:r>
            <w:r w:rsidR="00A66538">
              <w:rPr>
                <w:rFonts w:asciiTheme="majorEastAsia" w:eastAsiaTheme="majorEastAsia" w:hAnsiTheme="majorEastAsia" w:hint="eastAsia"/>
                <w:bCs/>
                <w:iCs/>
                <w:color w:val="000000"/>
                <w:kern w:val="0"/>
                <w:sz w:val="24"/>
              </w:rPr>
              <w:t>比如</w:t>
            </w:r>
            <w:r w:rsidR="00A66538">
              <w:rPr>
                <w:rFonts w:asciiTheme="majorEastAsia" w:eastAsiaTheme="majorEastAsia" w:hAnsiTheme="majorEastAsia"/>
                <w:bCs/>
                <w:iCs/>
                <w:color w:val="000000"/>
                <w:kern w:val="0"/>
                <w:sz w:val="24"/>
              </w:rPr>
              <w:t>天津和平大悦城</w:t>
            </w:r>
            <w:r w:rsidR="00A66538">
              <w:rPr>
                <w:rFonts w:asciiTheme="majorEastAsia" w:eastAsiaTheme="majorEastAsia" w:hAnsiTheme="majorEastAsia" w:hint="eastAsia"/>
                <w:bCs/>
                <w:iCs/>
                <w:color w:val="000000"/>
                <w:kern w:val="0"/>
                <w:sz w:val="24"/>
              </w:rPr>
              <w:t>、</w:t>
            </w:r>
            <w:r w:rsidRPr="008B1576">
              <w:rPr>
                <w:rFonts w:asciiTheme="majorEastAsia" w:eastAsiaTheme="majorEastAsia" w:hAnsiTheme="majorEastAsia"/>
                <w:bCs/>
                <w:iCs/>
                <w:color w:val="000000"/>
                <w:kern w:val="0"/>
                <w:sz w:val="24"/>
              </w:rPr>
              <w:t>昆明大悦城</w:t>
            </w:r>
            <w:r w:rsidR="00A66538">
              <w:rPr>
                <w:rFonts w:asciiTheme="majorEastAsia" w:eastAsiaTheme="majorEastAsia" w:hAnsiTheme="majorEastAsia"/>
                <w:bCs/>
                <w:iCs/>
                <w:color w:val="000000"/>
                <w:kern w:val="0"/>
                <w:sz w:val="24"/>
              </w:rPr>
              <w:t>，此外还有其它项目在推进</w:t>
            </w:r>
            <w:r w:rsidRPr="008B1576">
              <w:rPr>
                <w:rFonts w:asciiTheme="majorEastAsia" w:eastAsiaTheme="majorEastAsia" w:hAnsiTheme="majorEastAsia"/>
                <w:bCs/>
                <w:iCs/>
                <w:color w:val="000000"/>
                <w:kern w:val="0"/>
                <w:sz w:val="24"/>
              </w:rPr>
              <w:t>。</w:t>
            </w:r>
          </w:p>
          <w:p w:rsidR="008B1576" w:rsidRPr="005370D9" w:rsidRDefault="008B1576"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5370D9">
              <w:rPr>
                <w:rFonts w:asciiTheme="majorEastAsia" w:eastAsiaTheme="majorEastAsia" w:hAnsiTheme="majorEastAsia"/>
                <w:bCs/>
                <w:iCs/>
                <w:color w:val="000000"/>
                <w:kern w:val="0"/>
                <w:sz w:val="24"/>
              </w:rPr>
              <w:t>盘活资产存量是“大资管战略”的第一步。</w:t>
            </w:r>
            <w:r w:rsidR="00517200">
              <w:rPr>
                <w:rFonts w:asciiTheme="majorEastAsia" w:eastAsiaTheme="majorEastAsia" w:hAnsiTheme="majorEastAsia" w:hint="eastAsia"/>
                <w:bCs/>
                <w:iCs/>
                <w:color w:val="000000"/>
                <w:kern w:val="0"/>
                <w:sz w:val="24"/>
              </w:rPr>
              <w:t>公司</w:t>
            </w:r>
            <w:r w:rsidRPr="005370D9">
              <w:rPr>
                <w:rFonts w:asciiTheme="majorEastAsia" w:eastAsiaTheme="majorEastAsia" w:hAnsiTheme="majorEastAsia"/>
                <w:bCs/>
                <w:iCs/>
                <w:color w:val="000000"/>
                <w:kern w:val="0"/>
                <w:sz w:val="24"/>
              </w:rPr>
              <w:t>依托“大悦城”优质的商业品牌及运营能力，与具有丰富商业物业投资经验的投资者合作，成立基金公司，释放资产价值，带动上市公司估值。建立可持续资本循环平台就是“大资管”战略的第二步。</w:t>
            </w:r>
            <w:r w:rsidR="00517200">
              <w:rPr>
                <w:rFonts w:asciiTheme="majorEastAsia" w:eastAsiaTheme="majorEastAsia" w:hAnsiTheme="majorEastAsia" w:hint="eastAsia"/>
                <w:bCs/>
                <w:iCs/>
                <w:color w:val="000000"/>
                <w:kern w:val="0"/>
                <w:sz w:val="24"/>
              </w:rPr>
              <w:t>公司</w:t>
            </w:r>
            <w:r w:rsidRPr="005370D9">
              <w:rPr>
                <w:rFonts w:asciiTheme="majorEastAsia" w:eastAsiaTheme="majorEastAsia" w:hAnsiTheme="majorEastAsia"/>
                <w:bCs/>
                <w:iCs/>
                <w:color w:val="000000"/>
                <w:kern w:val="0"/>
                <w:sz w:val="24"/>
              </w:rPr>
              <w:t>通过打造多样化的融资渠道，支持其他业务的发展，进而拓展除商业物</w:t>
            </w:r>
            <w:r w:rsidRPr="005370D9">
              <w:rPr>
                <w:rFonts w:asciiTheme="majorEastAsia" w:eastAsiaTheme="majorEastAsia" w:hAnsiTheme="majorEastAsia"/>
                <w:bCs/>
                <w:iCs/>
                <w:color w:val="000000"/>
                <w:kern w:val="0"/>
                <w:sz w:val="24"/>
              </w:rPr>
              <w:lastRenderedPageBreak/>
              <w:t>业租金收益之外的其他业务收入；能够降低负债率，改善资本结构有助于降低融资成本、提高未来融资的灵活性。</w:t>
            </w:r>
          </w:p>
          <w:p w:rsidR="004717CB" w:rsidRPr="008B1576" w:rsidRDefault="004717CB" w:rsidP="00313EF4">
            <w:pPr>
              <w:adjustRightInd w:val="0"/>
              <w:snapToGrid w:val="0"/>
              <w:spacing w:line="360" w:lineRule="auto"/>
              <w:ind w:firstLine="482"/>
              <w:rPr>
                <w:rFonts w:asciiTheme="majorEastAsia" w:eastAsiaTheme="majorEastAsia" w:hAnsiTheme="majorEastAsia"/>
                <w:bCs/>
                <w:iCs/>
                <w:color w:val="000000"/>
                <w:kern w:val="0"/>
                <w:sz w:val="24"/>
              </w:rPr>
            </w:pPr>
          </w:p>
          <w:p w:rsidR="004717CB" w:rsidRPr="00517200" w:rsidRDefault="00517200" w:rsidP="00313EF4">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4、</w:t>
            </w:r>
            <w:r w:rsidRPr="00517200">
              <w:rPr>
                <w:rFonts w:hint="eastAsia"/>
                <w:b/>
                <w:sz w:val="23"/>
                <w:szCs w:val="23"/>
              </w:rPr>
              <w:t>公司</w:t>
            </w:r>
            <w:r w:rsidRPr="00517200">
              <w:rPr>
                <w:b/>
                <w:sz w:val="23"/>
                <w:szCs w:val="23"/>
              </w:rPr>
              <w:t>更名</w:t>
            </w:r>
            <w:r w:rsidRPr="00517200">
              <w:rPr>
                <w:rFonts w:hint="eastAsia"/>
                <w:b/>
                <w:sz w:val="23"/>
                <w:szCs w:val="23"/>
              </w:rPr>
              <w:t>为</w:t>
            </w:r>
            <w:r w:rsidRPr="00517200">
              <w:rPr>
                <w:b/>
                <w:sz w:val="23"/>
                <w:szCs w:val="23"/>
              </w:rPr>
              <w:t>大悦城控股的原因？</w:t>
            </w:r>
          </w:p>
          <w:p w:rsidR="00517200" w:rsidRPr="00D25ADA" w:rsidRDefault="00517200"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D25ADA">
              <w:rPr>
                <w:rFonts w:asciiTheme="majorEastAsia" w:eastAsiaTheme="majorEastAsia" w:hAnsiTheme="majorEastAsia" w:hint="eastAsia"/>
                <w:bCs/>
                <w:iCs/>
                <w:color w:val="000000"/>
                <w:kern w:val="0"/>
                <w:sz w:val="24"/>
              </w:rPr>
              <w:t>首先，重组后，资产和业务结构的变化是更名的根本原因。虽然</w:t>
            </w:r>
            <w:r w:rsidR="00D25ADA">
              <w:rPr>
                <w:rFonts w:asciiTheme="majorEastAsia" w:eastAsiaTheme="majorEastAsia" w:hAnsiTheme="majorEastAsia" w:hint="eastAsia"/>
                <w:bCs/>
                <w:iCs/>
                <w:color w:val="000000"/>
                <w:kern w:val="0"/>
                <w:sz w:val="24"/>
              </w:rPr>
              <w:t>公司</w:t>
            </w:r>
            <w:r w:rsidRPr="00D25ADA">
              <w:rPr>
                <w:rFonts w:asciiTheme="majorEastAsia" w:eastAsiaTheme="majorEastAsia" w:hAnsiTheme="majorEastAsia" w:hint="eastAsia"/>
                <w:bCs/>
                <w:iCs/>
                <w:color w:val="000000"/>
                <w:kern w:val="0"/>
                <w:sz w:val="24"/>
              </w:rPr>
              <w:t>主营业务不变，即商品房开发业务仍为公司最主要的业务，但是</w:t>
            </w:r>
            <w:r w:rsidR="00D25ADA">
              <w:rPr>
                <w:rFonts w:asciiTheme="majorEastAsia" w:eastAsiaTheme="majorEastAsia" w:hAnsiTheme="majorEastAsia" w:hint="eastAsia"/>
                <w:bCs/>
                <w:iCs/>
                <w:color w:val="000000"/>
                <w:kern w:val="0"/>
                <w:sz w:val="24"/>
              </w:rPr>
              <w:t>公司</w:t>
            </w:r>
            <w:r w:rsidRPr="00D25ADA">
              <w:rPr>
                <w:rFonts w:asciiTheme="majorEastAsia" w:eastAsiaTheme="majorEastAsia" w:hAnsiTheme="majorEastAsia" w:hint="eastAsia"/>
                <w:bCs/>
                <w:iCs/>
                <w:color w:val="000000"/>
                <w:kern w:val="0"/>
                <w:sz w:val="24"/>
              </w:rPr>
              <w:t>资产、业务结构发生了重要变化，形成了住宅销售、购物中心、产业地产、写字楼、酒店与长租公寓等多业务板块。</w:t>
            </w:r>
            <w:r w:rsidR="00D25ADA">
              <w:rPr>
                <w:rFonts w:asciiTheme="majorEastAsia" w:eastAsiaTheme="majorEastAsia" w:hAnsiTheme="majorEastAsia" w:hint="eastAsia"/>
                <w:bCs/>
                <w:iCs/>
                <w:color w:val="000000"/>
                <w:kern w:val="0"/>
                <w:sz w:val="24"/>
              </w:rPr>
              <w:t>大悦城地产</w:t>
            </w:r>
            <w:r w:rsidRPr="00D25ADA">
              <w:rPr>
                <w:rFonts w:asciiTheme="majorEastAsia" w:eastAsiaTheme="majorEastAsia" w:hAnsiTheme="majorEastAsia" w:hint="eastAsia"/>
                <w:bCs/>
                <w:iCs/>
                <w:color w:val="000000"/>
                <w:kern w:val="0"/>
                <w:sz w:val="24"/>
              </w:rPr>
              <w:t>已经成为公司的核心资产。</w:t>
            </w:r>
          </w:p>
          <w:p w:rsidR="00517200" w:rsidRPr="00D25ADA" w:rsidRDefault="00517200"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D25ADA">
              <w:rPr>
                <w:rFonts w:asciiTheme="majorEastAsia" w:eastAsiaTheme="majorEastAsia" w:hAnsiTheme="majorEastAsia" w:hint="eastAsia"/>
                <w:bCs/>
                <w:iCs/>
                <w:color w:val="000000"/>
                <w:kern w:val="0"/>
                <w:sz w:val="24"/>
              </w:rPr>
              <w:t>大悦城品牌历经十余年的发展，在行业中处于引领地位，具有较高的品牌价值和市场知名度。大悦城在</w:t>
            </w:r>
            <w:r w:rsidRPr="00D25ADA">
              <w:rPr>
                <w:rFonts w:asciiTheme="majorEastAsia" w:eastAsiaTheme="majorEastAsia" w:hAnsiTheme="majorEastAsia"/>
                <w:bCs/>
                <w:iCs/>
                <w:color w:val="000000"/>
                <w:kern w:val="0"/>
                <w:sz w:val="24"/>
              </w:rPr>
              <w:t>2018</w:t>
            </w:r>
            <w:r w:rsidRPr="00D25ADA">
              <w:rPr>
                <w:rFonts w:asciiTheme="majorEastAsia" w:eastAsiaTheme="majorEastAsia" w:hAnsiTheme="majorEastAsia" w:hint="eastAsia"/>
                <w:bCs/>
                <w:iCs/>
                <w:color w:val="000000"/>
                <w:kern w:val="0"/>
                <w:sz w:val="24"/>
              </w:rPr>
              <w:t>年中国商业房地产百强榜位居前五</w:t>
            </w:r>
            <w:r w:rsidRPr="00D25ADA">
              <w:rPr>
                <w:rFonts w:asciiTheme="majorEastAsia" w:eastAsiaTheme="majorEastAsia" w:hAnsiTheme="majorEastAsia"/>
                <w:bCs/>
                <w:iCs/>
                <w:color w:val="000000"/>
                <w:kern w:val="0"/>
                <w:sz w:val="24"/>
              </w:rPr>
              <w:t>,</w:t>
            </w:r>
            <w:r w:rsidRPr="00D25ADA">
              <w:rPr>
                <w:rFonts w:asciiTheme="majorEastAsia" w:eastAsiaTheme="majorEastAsia" w:hAnsiTheme="majorEastAsia" w:hint="eastAsia"/>
                <w:bCs/>
                <w:iCs/>
                <w:color w:val="000000"/>
                <w:kern w:val="0"/>
                <w:sz w:val="24"/>
              </w:rPr>
              <w:t>并荣获</w:t>
            </w:r>
            <w:r w:rsidRPr="00D25ADA">
              <w:rPr>
                <w:rFonts w:asciiTheme="majorEastAsia" w:eastAsiaTheme="majorEastAsia" w:hAnsiTheme="majorEastAsia"/>
                <w:bCs/>
                <w:iCs/>
                <w:color w:val="000000"/>
                <w:kern w:val="0"/>
                <w:sz w:val="24"/>
              </w:rPr>
              <w:t>ICSC</w:t>
            </w:r>
            <w:r w:rsidRPr="00D25ADA">
              <w:rPr>
                <w:rFonts w:asciiTheme="majorEastAsia" w:eastAsiaTheme="majorEastAsia" w:hAnsiTheme="majorEastAsia" w:hint="eastAsia"/>
                <w:bCs/>
                <w:iCs/>
                <w:color w:val="000000"/>
                <w:kern w:val="0"/>
                <w:sz w:val="24"/>
              </w:rPr>
              <w:t>国际购物中心协会</w:t>
            </w:r>
            <w:r w:rsidRPr="00D25ADA">
              <w:rPr>
                <w:rFonts w:asciiTheme="majorEastAsia" w:eastAsiaTheme="majorEastAsia" w:hAnsiTheme="majorEastAsia"/>
                <w:bCs/>
                <w:iCs/>
                <w:color w:val="000000"/>
                <w:kern w:val="0"/>
                <w:sz w:val="24"/>
              </w:rPr>
              <w:t>6</w:t>
            </w:r>
            <w:r w:rsidRPr="00D25ADA">
              <w:rPr>
                <w:rFonts w:asciiTheme="majorEastAsia" w:eastAsiaTheme="majorEastAsia" w:hAnsiTheme="majorEastAsia" w:hint="eastAsia"/>
                <w:bCs/>
                <w:iCs/>
                <w:color w:val="000000"/>
                <w:kern w:val="0"/>
                <w:sz w:val="24"/>
              </w:rPr>
              <w:t>项大奖，在行业中处于领先地位。</w:t>
            </w:r>
            <w:r w:rsidRPr="00D25ADA">
              <w:rPr>
                <w:rFonts w:asciiTheme="majorEastAsia" w:eastAsiaTheme="majorEastAsia" w:hAnsiTheme="majorEastAsia"/>
                <w:bCs/>
                <w:iCs/>
                <w:color w:val="000000"/>
                <w:kern w:val="0"/>
                <w:sz w:val="24"/>
              </w:rPr>
              <w:t>2018</w:t>
            </w:r>
            <w:r w:rsidRPr="00D25ADA">
              <w:rPr>
                <w:rFonts w:asciiTheme="majorEastAsia" w:eastAsiaTheme="majorEastAsia" w:hAnsiTheme="majorEastAsia" w:hint="eastAsia"/>
                <w:bCs/>
                <w:iCs/>
                <w:color w:val="000000"/>
                <w:kern w:val="0"/>
                <w:sz w:val="24"/>
              </w:rPr>
              <w:t>年，上海长风、杭州、昆明、西安四家大悦城逐一开业，大悦城品牌在全国布局提质增速，成为了引领城市消费和生活方式升级的明星力量。</w:t>
            </w:r>
          </w:p>
          <w:p w:rsidR="00517200" w:rsidRPr="00D25ADA" w:rsidRDefault="00517200"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D25ADA">
              <w:rPr>
                <w:rFonts w:asciiTheme="majorEastAsia" w:eastAsiaTheme="majorEastAsia" w:hAnsiTheme="majorEastAsia" w:hint="eastAsia"/>
                <w:bCs/>
                <w:iCs/>
                <w:color w:val="000000"/>
                <w:kern w:val="0"/>
                <w:sz w:val="24"/>
              </w:rPr>
              <w:t>以大悦城品牌的影响力助推地产业务发展，能够进一步增强公司的市场影响力和行业地位，扩大公司规模化效应。除大悦城购物中心外，公司旗下相关项目均以</w:t>
            </w:r>
            <w:r w:rsidRPr="00D25ADA">
              <w:rPr>
                <w:rFonts w:asciiTheme="majorEastAsia" w:eastAsiaTheme="majorEastAsia" w:hAnsiTheme="majorEastAsia"/>
                <w:bCs/>
                <w:iCs/>
                <w:color w:val="000000"/>
                <w:kern w:val="0"/>
                <w:sz w:val="24"/>
              </w:rPr>
              <w:t>“</w:t>
            </w:r>
            <w:r w:rsidRPr="00D25ADA">
              <w:rPr>
                <w:rFonts w:asciiTheme="majorEastAsia" w:eastAsiaTheme="majorEastAsia" w:hAnsiTheme="majorEastAsia" w:hint="eastAsia"/>
                <w:bCs/>
                <w:iCs/>
                <w:color w:val="000000"/>
                <w:kern w:val="0"/>
                <w:sz w:val="24"/>
              </w:rPr>
              <w:t>大悦</w:t>
            </w:r>
            <w:r w:rsidRPr="00D25ADA">
              <w:rPr>
                <w:rFonts w:asciiTheme="majorEastAsia" w:eastAsiaTheme="majorEastAsia" w:hAnsiTheme="majorEastAsia"/>
                <w:bCs/>
                <w:iCs/>
                <w:color w:val="000000"/>
                <w:kern w:val="0"/>
                <w:sz w:val="24"/>
              </w:rPr>
              <w:t>”</w:t>
            </w:r>
            <w:r w:rsidRPr="00D25ADA">
              <w:rPr>
                <w:rFonts w:asciiTheme="majorEastAsia" w:eastAsiaTheme="majorEastAsia" w:hAnsiTheme="majorEastAsia" w:hint="eastAsia"/>
                <w:bCs/>
                <w:iCs/>
                <w:color w:val="000000"/>
                <w:kern w:val="0"/>
                <w:sz w:val="24"/>
              </w:rPr>
              <w:t>命名，全面覆盖商业、住宅、酒店、长租公寓、写字楼、产业园区等相关业务领域，更名为</w:t>
            </w:r>
            <w:r w:rsidRPr="00D25ADA">
              <w:rPr>
                <w:rFonts w:asciiTheme="majorEastAsia" w:eastAsiaTheme="majorEastAsia" w:hAnsiTheme="majorEastAsia"/>
                <w:bCs/>
                <w:iCs/>
                <w:color w:val="000000"/>
                <w:kern w:val="0"/>
                <w:sz w:val="24"/>
              </w:rPr>
              <w:t>“</w:t>
            </w:r>
            <w:r w:rsidRPr="00D25ADA">
              <w:rPr>
                <w:rFonts w:asciiTheme="majorEastAsia" w:eastAsiaTheme="majorEastAsia" w:hAnsiTheme="majorEastAsia" w:hint="eastAsia"/>
                <w:bCs/>
                <w:iCs/>
                <w:color w:val="000000"/>
                <w:kern w:val="0"/>
                <w:sz w:val="24"/>
              </w:rPr>
              <w:t>大悦城控股</w:t>
            </w:r>
            <w:r w:rsidRPr="00D25ADA">
              <w:rPr>
                <w:rFonts w:asciiTheme="majorEastAsia" w:eastAsiaTheme="majorEastAsia" w:hAnsiTheme="majorEastAsia"/>
                <w:bCs/>
                <w:iCs/>
                <w:color w:val="000000"/>
                <w:kern w:val="0"/>
                <w:sz w:val="24"/>
              </w:rPr>
              <w:t>”</w:t>
            </w:r>
            <w:r w:rsidRPr="00D25ADA">
              <w:rPr>
                <w:rFonts w:asciiTheme="majorEastAsia" w:eastAsiaTheme="majorEastAsia" w:hAnsiTheme="majorEastAsia" w:hint="eastAsia"/>
                <w:bCs/>
                <w:iCs/>
                <w:color w:val="000000"/>
                <w:kern w:val="0"/>
                <w:sz w:val="24"/>
              </w:rPr>
              <w:t>将助力实现大悦城品牌的业务扩容及内涵外延的拓展。</w:t>
            </w:r>
          </w:p>
          <w:p w:rsidR="00517200" w:rsidRPr="00D25ADA" w:rsidRDefault="00517200"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D25ADA">
              <w:rPr>
                <w:rFonts w:asciiTheme="majorEastAsia" w:eastAsiaTheme="majorEastAsia" w:hAnsiTheme="majorEastAsia" w:hint="eastAsia"/>
                <w:bCs/>
                <w:iCs/>
                <w:color w:val="000000"/>
                <w:kern w:val="0"/>
                <w:sz w:val="24"/>
              </w:rPr>
              <w:t>房地产行业属于充分竞争行业，市场化程度较高，更名大悦城控股有利于进一步促进公司的市场化、专业化程度，进一步提高国有资本运营活力和效率及公司的可持续发展能力和竞争力。</w:t>
            </w:r>
          </w:p>
          <w:p w:rsidR="00517200" w:rsidRPr="00D25ADA" w:rsidRDefault="00517200"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D25ADA">
              <w:rPr>
                <w:rFonts w:asciiTheme="majorEastAsia" w:eastAsiaTheme="majorEastAsia" w:hAnsiTheme="majorEastAsia" w:hint="eastAsia"/>
                <w:bCs/>
                <w:iCs/>
                <w:color w:val="000000"/>
                <w:kern w:val="0"/>
                <w:sz w:val="24"/>
              </w:rPr>
              <w:t>以上，基于资产、业务结构的变化，同时为符合公司目前的业务实际情况和未来战略方向及发展规划，满足经营发展需要，进一步提升公司核心品牌形象和品牌价值，增强公司的市场影响力，扩大公司规模化效应，公司对名称进行了变更。</w:t>
            </w:r>
          </w:p>
          <w:p w:rsidR="00517200" w:rsidRPr="00517200" w:rsidRDefault="00517200" w:rsidP="00313EF4">
            <w:pPr>
              <w:adjustRightInd w:val="0"/>
              <w:snapToGrid w:val="0"/>
              <w:spacing w:line="360" w:lineRule="auto"/>
              <w:ind w:firstLine="482"/>
              <w:rPr>
                <w:rFonts w:asciiTheme="majorEastAsia" w:eastAsiaTheme="majorEastAsia" w:hAnsiTheme="majorEastAsia"/>
                <w:b/>
                <w:bCs/>
                <w:iCs/>
                <w:color w:val="000000"/>
                <w:kern w:val="0"/>
                <w:sz w:val="24"/>
              </w:rPr>
            </w:pPr>
          </w:p>
          <w:p w:rsidR="00517200" w:rsidRDefault="00251469" w:rsidP="00313EF4">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lastRenderedPageBreak/>
              <w:t>5、</w:t>
            </w:r>
            <w:r w:rsidR="0030446A" w:rsidRPr="0030446A">
              <w:rPr>
                <w:rFonts w:asciiTheme="majorEastAsia" w:eastAsiaTheme="majorEastAsia" w:hAnsiTheme="majorEastAsia" w:hint="eastAsia"/>
                <w:b/>
                <w:bCs/>
                <w:iCs/>
                <w:color w:val="000000"/>
                <w:kern w:val="0"/>
                <w:sz w:val="24"/>
              </w:rPr>
              <w:t>大悦城</w:t>
            </w:r>
            <w:r w:rsidR="0030446A">
              <w:rPr>
                <w:rFonts w:asciiTheme="majorEastAsia" w:eastAsiaTheme="majorEastAsia" w:hAnsiTheme="majorEastAsia" w:hint="eastAsia"/>
                <w:b/>
                <w:bCs/>
                <w:iCs/>
                <w:color w:val="000000"/>
                <w:kern w:val="0"/>
                <w:sz w:val="24"/>
              </w:rPr>
              <w:t>已经是</w:t>
            </w:r>
            <w:r w:rsidR="0030446A" w:rsidRPr="0030446A">
              <w:rPr>
                <w:rFonts w:asciiTheme="majorEastAsia" w:eastAsiaTheme="majorEastAsia" w:hAnsiTheme="majorEastAsia" w:hint="eastAsia"/>
                <w:b/>
                <w:bCs/>
                <w:iCs/>
                <w:color w:val="000000"/>
                <w:kern w:val="0"/>
                <w:sz w:val="24"/>
              </w:rPr>
              <w:t>比较成熟的品牌，</w:t>
            </w:r>
            <w:r w:rsidR="00AC3537">
              <w:rPr>
                <w:rFonts w:asciiTheme="majorEastAsia" w:eastAsiaTheme="majorEastAsia" w:hAnsiTheme="majorEastAsia" w:hint="eastAsia"/>
                <w:b/>
                <w:bCs/>
                <w:iCs/>
                <w:color w:val="000000"/>
                <w:kern w:val="0"/>
                <w:sz w:val="24"/>
              </w:rPr>
              <w:t>相对于市场上其他商业品牌，</w:t>
            </w:r>
            <w:r w:rsidR="0030446A">
              <w:rPr>
                <w:rFonts w:asciiTheme="majorEastAsia" w:eastAsiaTheme="majorEastAsia" w:hAnsiTheme="majorEastAsia" w:hint="eastAsia"/>
                <w:b/>
                <w:bCs/>
                <w:iCs/>
                <w:color w:val="000000"/>
                <w:kern w:val="0"/>
                <w:sz w:val="24"/>
              </w:rPr>
              <w:t>其核心竞争力是什么</w:t>
            </w:r>
            <w:r w:rsidR="0030446A" w:rsidRPr="0030446A">
              <w:rPr>
                <w:rFonts w:asciiTheme="majorEastAsia" w:eastAsiaTheme="majorEastAsia" w:hAnsiTheme="majorEastAsia" w:hint="eastAsia"/>
                <w:b/>
                <w:bCs/>
                <w:iCs/>
                <w:color w:val="000000"/>
                <w:kern w:val="0"/>
                <w:sz w:val="24"/>
              </w:rPr>
              <w:t>？</w:t>
            </w:r>
          </w:p>
          <w:p w:rsidR="00AC3537" w:rsidRPr="00AC3537" w:rsidRDefault="00AC3537" w:rsidP="00313EF4">
            <w:pPr>
              <w:autoSpaceDE w:val="0"/>
              <w:autoSpaceDN w:val="0"/>
              <w:adjustRightInd w:val="0"/>
              <w:spacing w:line="360" w:lineRule="auto"/>
              <w:ind w:firstLineChars="200" w:firstLine="480"/>
              <w:jc w:val="left"/>
              <w:rPr>
                <w:rFonts w:asciiTheme="majorEastAsia" w:eastAsiaTheme="majorEastAsia" w:hAnsiTheme="majorEastAsia" w:hint="eastAsia"/>
                <w:bCs/>
                <w:iCs/>
                <w:color w:val="000000"/>
                <w:kern w:val="0"/>
                <w:sz w:val="24"/>
              </w:rPr>
            </w:pPr>
            <w:r w:rsidRPr="00AC3537">
              <w:rPr>
                <w:rFonts w:asciiTheme="majorEastAsia" w:eastAsiaTheme="majorEastAsia" w:hAnsiTheme="majorEastAsia"/>
                <w:bCs/>
                <w:iCs/>
                <w:color w:val="000000"/>
                <w:kern w:val="0"/>
                <w:sz w:val="24"/>
              </w:rPr>
              <w:t>大悦城系列商业综合体的目标客群定位相比其他竞争对手来说相对细化和精准，大悦城的主力客群定位为18-35岁年轻中产阶级人群，区别于普众市场与高端精英市场，该类人群年轻、时尚、潮流、讲求品味，是中国未来消费的主要群体。大悦城系列商业综合体在一、二线城市年轻人消费市场中取得了较为广泛的市场认可，为其购物中心经营业绩的稳步提升创造了良好的基础</w:t>
            </w:r>
            <w:r w:rsidRPr="00AC3537">
              <w:rPr>
                <w:rFonts w:asciiTheme="majorEastAsia" w:eastAsiaTheme="majorEastAsia" w:hAnsiTheme="majorEastAsia" w:hint="eastAsia"/>
                <w:bCs/>
                <w:iCs/>
                <w:color w:val="000000"/>
                <w:kern w:val="0"/>
                <w:sz w:val="24"/>
              </w:rPr>
              <w:t>。</w:t>
            </w:r>
          </w:p>
          <w:p w:rsidR="00AC3537" w:rsidRPr="00AC3537" w:rsidRDefault="00AC3537" w:rsidP="00313EF4">
            <w:pPr>
              <w:autoSpaceDE w:val="0"/>
              <w:autoSpaceDN w:val="0"/>
              <w:adjustRightInd w:val="0"/>
              <w:spacing w:line="360" w:lineRule="auto"/>
              <w:ind w:firstLineChars="200" w:firstLine="480"/>
              <w:jc w:val="left"/>
              <w:rPr>
                <w:rFonts w:asciiTheme="majorEastAsia" w:eastAsiaTheme="majorEastAsia" w:hAnsiTheme="majorEastAsia" w:hint="eastAsia"/>
                <w:bCs/>
                <w:iCs/>
                <w:color w:val="000000"/>
                <w:kern w:val="0"/>
                <w:sz w:val="24"/>
              </w:rPr>
            </w:pPr>
            <w:r w:rsidRPr="00AC3537">
              <w:rPr>
                <w:rFonts w:asciiTheme="majorEastAsia" w:eastAsiaTheme="majorEastAsia" w:hAnsiTheme="majorEastAsia"/>
                <w:bCs/>
                <w:iCs/>
                <w:color w:val="000000"/>
                <w:kern w:val="0"/>
                <w:sz w:val="24"/>
              </w:rPr>
              <w:t>大悦城商业综合体是以经营有效客流为目标，有别于经营现金流的地产开发模式和渠道模式。大悦城将自身经营定位为是运营商而不是开发商，所以大悦城更加关注品牌商户的经营情况，从各方面帮助商户提升经营水平</w:t>
            </w:r>
            <w:r w:rsidRPr="00AC3537">
              <w:rPr>
                <w:rFonts w:asciiTheme="majorEastAsia" w:eastAsiaTheme="majorEastAsia" w:hAnsiTheme="majorEastAsia" w:hint="eastAsia"/>
                <w:bCs/>
                <w:iCs/>
                <w:color w:val="000000"/>
                <w:kern w:val="0"/>
                <w:sz w:val="24"/>
              </w:rPr>
              <w:t>。</w:t>
            </w:r>
          </w:p>
          <w:p w:rsidR="00AC3537" w:rsidRPr="00AC3537" w:rsidRDefault="00AC3537" w:rsidP="00313EF4">
            <w:pPr>
              <w:autoSpaceDE w:val="0"/>
              <w:autoSpaceDN w:val="0"/>
              <w:adjustRightInd w:val="0"/>
              <w:spacing w:line="360" w:lineRule="auto"/>
              <w:ind w:firstLineChars="200" w:firstLine="480"/>
              <w:jc w:val="left"/>
              <w:rPr>
                <w:rFonts w:asciiTheme="majorEastAsia" w:eastAsiaTheme="majorEastAsia" w:hAnsiTheme="majorEastAsia"/>
                <w:bCs/>
                <w:iCs/>
                <w:color w:val="000000"/>
                <w:kern w:val="0"/>
                <w:sz w:val="24"/>
              </w:rPr>
            </w:pPr>
            <w:r w:rsidRPr="00AC3537">
              <w:rPr>
                <w:rFonts w:asciiTheme="majorEastAsia" w:eastAsiaTheme="majorEastAsia" w:hAnsiTheme="majorEastAsia" w:hint="eastAsia"/>
                <w:bCs/>
                <w:iCs/>
                <w:color w:val="000000"/>
                <w:kern w:val="0"/>
                <w:sz w:val="24"/>
              </w:rPr>
              <w:t>大悦城</w:t>
            </w:r>
            <w:r w:rsidRPr="00AC3537">
              <w:rPr>
                <w:rFonts w:asciiTheme="majorEastAsia" w:eastAsiaTheme="majorEastAsia" w:hAnsiTheme="majorEastAsia"/>
                <w:bCs/>
                <w:iCs/>
                <w:color w:val="000000"/>
                <w:kern w:val="0"/>
                <w:sz w:val="24"/>
              </w:rPr>
              <w:t>拥有专业的商业管理团队，建设成熟稳定的商业人才队伍</w:t>
            </w:r>
            <w:r w:rsidRPr="00AC3537">
              <w:rPr>
                <w:rFonts w:asciiTheme="majorEastAsia" w:eastAsiaTheme="majorEastAsia" w:hAnsiTheme="majorEastAsia" w:hint="eastAsia"/>
                <w:bCs/>
                <w:iCs/>
                <w:color w:val="000000"/>
                <w:kern w:val="0"/>
                <w:sz w:val="24"/>
              </w:rPr>
              <w:t>。</w:t>
            </w:r>
            <w:r w:rsidRPr="00AC3537">
              <w:rPr>
                <w:rFonts w:asciiTheme="majorEastAsia" w:eastAsiaTheme="majorEastAsia" w:hAnsiTheme="majorEastAsia"/>
                <w:bCs/>
                <w:iCs/>
                <w:color w:val="000000"/>
                <w:kern w:val="0"/>
                <w:sz w:val="24"/>
              </w:rPr>
              <w:t>此外，</w:t>
            </w:r>
            <w:r w:rsidRPr="00AC3537">
              <w:rPr>
                <w:rFonts w:asciiTheme="majorEastAsia" w:eastAsiaTheme="majorEastAsia" w:hAnsiTheme="majorEastAsia" w:hint="eastAsia"/>
                <w:bCs/>
                <w:iCs/>
                <w:color w:val="000000"/>
                <w:kern w:val="0"/>
                <w:sz w:val="24"/>
              </w:rPr>
              <w:t>大悦城</w:t>
            </w:r>
            <w:r w:rsidRPr="00AC3537">
              <w:rPr>
                <w:rFonts w:asciiTheme="majorEastAsia" w:eastAsiaTheme="majorEastAsia" w:hAnsiTheme="majorEastAsia"/>
                <w:bCs/>
                <w:iCs/>
                <w:color w:val="000000"/>
                <w:kern w:val="0"/>
                <w:sz w:val="24"/>
              </w:rPr>
              <w:t>将管理经营进行体系化、规范化，在提升自身的运营水平的同时，实现了商业项目的管理输出。</w:t>
            </w:r>
          </w:p>
          <w:p w:rsidR="00517200" w:rsidRDefault="00517200" w:rsidP="00313EF4">
            <w:pPr>
              <w:adjustRightInd w:val="0"/>
              <w:snapToGrid w:val="0"/>
              <w:spacing w:line="360" w:lineRule="auto"/>
              <w:ind w:firstLine="482"/>
              <w:rPr>
                <w:rFonts w:asciiTheme="majorEastAsia" w:eastAsiaTheme="majorEastAsia" w:hAnsiTheme="majorEastAsia"/>
                <w:b/>
                <w:bCs/>
                <w:iCs/>
                <w:color w:val="000000"/>
                <w:kern w:val="0"/>
                <w:sz w:val="24"/>
              </w:rPr>
            </w:pPr>
          </w:p>
          <w:p w:rsidR="009842C1" w:rsidRPr="009842C1" w:rsidRDefault="003E0728" w:rsidP="00313EF4">
            <w:pPr>
              <w:autoSpaceDE w:val="0"/>
              <w:autoSpaceDN w:val="0"/>
              <w:adjustRightInd w:val="0"/>
              <w:spacing w:line="360" w:lineRule="auto"/>
              <w:ind w:firstLineChars="200" w:firstLine="482"/>
              <w:jc w:val="left"/>
              <w:rPr>
                <w:rFonts w:asciiTheme="majorEastAsia" w:eastAsiaTheme="majorEastAsia" w:hAnsiTheme="majorEastAsia"/>
                <w:b/>
                <w:bCs/>
                <w:iCs/>
                <w:color w:val="000000"/>
                <w:kern w:val="0"/>
                <w:sz w:val="24"/>
              </w:rPr>
            </w:pPr>
            <w:r w:rsidRPr="009842C1">
              <w:rPr>
                <w:rFonts w:asciiTheme="majorEastAsia" w:eastAsiaTheme="majorEastAsia" w:hAnsiTheme="majorEastAsia" w:hint="eastAsia"/>
                <w:b/>
                <w:bCs/>
                <w:iCs/>
                <w:color w:val="000000"/>
                <w:kern w:val="0"/>
                <w:sz w:val="24"/>
              </w:rPr>
              <w:t>6、</w:t>
            </w:r>
            <w:r w:rsidR="009842C1" w:rsidRPr="009842C1">
              <w:rPr>
                <w:rFonts w:asciiTheme="majorEastAsia" w:eastAsiaTheme="majorEastAsia" w:hAnsiTheme="majorEastAsia" w:hint="eastAsia"/>
                <w:b/>
                <w:bCs/>
                <w:iCs/>
                <w:color w:val="000000"/>
                <w:kern w:val="0"/>
                <w:sz w:val="24"/>
              </w:rPr>
              <w:t>公司未来</w:t>
            </w:r>
            <w:r w:rsidR="009842C1" w:rsidRPr="009842C1">
              <w:rPr>
                <w:rFonts w:asciiTheme="majorEastAsia" w:eastAsiaTheme="majorEastAsia" w:hAnsiTheme="majorEastAsia"/>
                <w:b/>
                <w:bCs/>
                <w:iCs/>
                <w:color w:val="000000"/>
                <w:kern w:val="0"/>
                <w:sz w:val="24"/>
              </w:rPr>
              <w:t>发展规模预期</w:t>
            </w:r>
          </w:p>
          <w:p w:rsidR="0008039F" w:rsidRPr="009842C1" w:rsidRDefault="009842C1" w:rsidP="00313EF4">
            <w:pPr>
              <w:autoSpaceDE w:val="0"/>
              <w:autoSpaceDN w:val="0"/>
              <w:adjustRightInd w:val="0"/>
              <w:spacing w:line="360" w:lineRule="auto"/>
              <w:ind w:firstLineChars="200" w:firstLine="480"/>
              <w:jc w:val="left"/>
              <w:rPr>
                <w:rFonts w:asciiTheme="minorEastAsia" w:hAnsiTheme="minorEastAsia"/>
                <w:color w:val="444444"/>
                <w:sz w:val="24"/>
              </w:rPr>
            </w:pPr>
            <w:r w:rsidRPr="009842C1">
              <w:rPr>
                <w:rFonts w:asciiTheme="majorEastAsia" w:eastAsiaTheme="majorEastAsia" w:hAnsiTheme="majorEastAsia" w:hint="eastAsia"/>
                <w:bCs/>
                <w:iCs/>
                <w:color w:val="000000"/>
                <w:kern w:val="0"/>
                <w:sz w:val="24"/>
              </w:rPr>
              <w:t>未来，</w:t>
            </w:r>
            <w:r w:rsidRPr="009842C1">
              <w:rPr>
                <w:rFonts w:asciiTheme="majorEastAsia" w:eastAsiaTheme="majorEastAsia" w:hAnsiTheme="majorEastAsia"/>
                <w:bCs/>
                <w:iCs/>
                <w:color w:val="000000"/>
                <w:kern w:val="0"/>
                <w:sz w:val="24"/>
              </w:rPr>
              <w:t>公司将以规模和高质量发展并举为方向，适度地在规模与高质量发展方面寻求合理平衡，更加注重高质量发展。</w:t>
            </w:r>
            <w:r w:rsidRPr="009842C1">
              <w:rPr>
                <w:rFonts w:asciiTheme="majorEastAsia" w:eastAsiaTheme="majorEastAsia" w:hAnsiTheme="majorEastAsia" w:hint="eastAsia"/>
                <w:bCs/>
                <w:iCs/>
                <w:color w:val="000000"/>
                <w:kern w:val="0"/>
                <w:sz w:val="24"/>
              </w:rPr>
              <w:t>在公司未来的发展过程中，质量是关键。未来持续发展是靠公司的核心竞争力，大悦城控股希望可以打造一个市场化的公司，在各个方面对</w:t>
            </w:r>
            <w:proofErr w:type="gramStart"/>
            <w:r w:rsidRPr="009842C1">
              <w:rPr>
                <w:rFonts w:asciiTheme="majorEastAsia" w:eastAsiaTheme="majorEastAsia" w:hAnsiTheme="majorEastAsia" w:hint="eastAsia"/>
                <w:bCs/>
                <w:iCs/>
                <w:color w:val="000000"/>
                <w:kern w:val="0"/>
                <w:sz w:val="24"/>
              </w:rPr>
              <w:t>标行业</w:t>
            </w:r>
            <w:proofErr w:type="gramEnd"/>
            <w:r w:rsidRPr="009842C1">
              <w:rPr>
                <w:rFonts w:asciiTheme="majorEastAsia" w:eastAsiaTheme="majorEastAsia" w:hAnsiTheme="majorEastAsia" w:hint="eastAsia"/>
                <w:bCs/>
                <w:iCs/>
                <w:color w:val="000000"/>
                <w:kern w:val="0"/>
                <w:sz w:val="24"/>
              </w:rPr>
              <w:t>内的优秀企业，在坚定自身的战略方向的基础上，</w:t>
            </w:r>
            <w:r w:rsidR="00313EF4">
              <w:rPr>
                <w:rFonts w:asciiTheme="majorEastAsia" w:eastAsiaTheme="majorEastAsia" w:hAnsiTheme="majorEastAsia" w:hint="eastAsia"/>
                <w:bCs/>
                <w:iCs/>
                <w:color w:val="000000"/>
                <w:kern w:val="0"/>
                <w:sz w:val="24"/>
              </w:rPr>
              <w:t>不忘初心，砥砺前行</w:t>
            </w:r>
            <w:r w:rsidRPr="009842C1">
              <w:rPr>
                <w:rFonts w:asciiTheme="majorEastAsia" w:eastAsiaTheme="majorEastAsia" w:hAnsiTheme="majorEastAsia" w:hint="eastAsia"/>
                <w:bCs/>
                <w:iCs/>
                <w:color w:val="000000"/>
                <w:kern w:val="0"/>
                <w:sz w:val="24"/>
              </w:rPr>
              <w:t>。公司将坚定地按照做城市的运营商和美好生活的服务商的方向，坚持于城市、生活深度运营，重服务、强学习、勇创新，希望在这条路上能够走的更远，走得更强，未来给投资者更好的回报。</w:t>
            </w:r>
          </w:p>
        </w:tc>
        <w:bookmarkStart w:id="0" w:name="_GoBack"/>
        <w:bookmarkEnd w:id="0"/>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B47804"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lastRenderedPageBreak/>
              <w:t>附件清单</w:t>
            </w:r>
          </w:p>
          <w:p w:rsidR="00966F7F"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无</w:t>
            </w:r>
          </w:p>
        </w:tc>
      </w:tr>
      <w:tr w:rsidR="00966F7F" w:rsidRPr="00280AA5" w:rsidTr="003B6FF8">
        <w:trPr>
          <w:trHeight w:val="338"/>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4C2E23" w:rsidRDefault="00966F7F" w:rsidP="00BB09F9">
            <w:pPr>
              <w:spacing w:line="480" w:lineRule="atLeast"/>
              <w:rPr>
                <w:rFonts w:ascii="宋体" w:hAnsi="宋体"/>
                <w:bCs/>
                <w:iCs/>
                <w:color w:val="000000"/>
                <w:sz w:val="24"/>
              </w:rPr>
            </w:pPr>
            <w:r w:rsidRPr="006557EF">
              <w:rPr>
                <w:rFonts w:ascii="宋体" w:hAnsi="宋体" w:hint="eastAsia"/>
                <w:bCs/>
                <w:iCs/>
                <w:color w:val="000000"/>
                <w:sz w:val="24"/>
              </w:rPr>
              <w:t>201</w:t>
            </w:r>
            <w:r w:rsidR="000637CF" w:rsidRPr="006557EF">
              <w:rPr>
                <w:rFonts w:ascii="宋体" w:hAnsi="宋体" w:hint="eastAsia"/>
                <w:bCs/>
                <w:iCs/>
                <w:color w:val="000000"/>
                <w:sz w:val="24"/>
              </w:rPr>
              <w:t>9</w:t>
            </w:r>
            <w:r w:rsidR="009C0011" w:rsidRPr="006557EF">
              <w:rPr>
                <w:rFonts w:ascii="宋体" w:hAnsi="宋体" w:hint="eastAsia"/>
                <w:bCs/>
                <w:iCs/>
                <w:color w:val="000000"/>
                <w:sz w:val="24"/>
              </w:rPr>
              <w:t>年</w:t>
            </w:r>
            <w:r w:rsidR="009F1A88">
              <w:rPr>
                <w:rFonts w:ascii="宋体" w:hAnsi="宋体" w:hint="eastAsia"/>
                <w:bCs/>
                <w:iCs/>
                <w:color w:val="000000"/>
                <w:sz w:val="24"/>
              </w:rPr>
              <w:t>0</w:t>
            </w:r>
            <w:r w:rsidR="00BB09F9">
              <w:rPr>
                <w:rFonts w:ascii="宋体" w:hAnsi="宋体" w:hint="eastAsia"/>
                <w:bCs/>
                <w:iCs/>
                <w:color w:val="000000"/>
                <w:sz w:val="24"/>
              </w:rPr>
              <w:t>9</w:t>
            </w:r>
            <w:r w:rsidRPr="006557EF">
              <w:rPr>
                <w:rFonts w:ascii="宋体" w:hAnsi="宋体" w:hint="eastAsia"/>
                <w:bCs/>
                <w:iCs/>
                <w:color w:val="000000"/>
                <w:sz w:val="24"/>
              </w:rPr>
              <w:t>月</w:t>
            </w:r>
            <w:r w:rsidR="00BB09F9">
              <w:rPr>
                <w:rFonts w:ascii="宋体" w:hAnsi="宋体" w:hint="eastAsia"/>
                <w:bCs/>
                <w:iCs/>
                <w:color w:val="000000"/>
                <w:sz w:val="24"/>
              </w:rPr>
              <w:t>02</w:t>
            </w:r>
            <w:r w:rsidRPr="006557EF">
              <w:rPr>
                <w:rFonts w:ascii="宋体" w:hAnsi="宋体" w:hint="eastAsia"/>
                <w:bCs/>
                <w:iCs/>
                <w:color w:val="000000"/>
                <w:sz w:val="24"/>
              </w:rPr>
              <w:t>日</w:t>
            </w:r>
          </w:p>
        </w:tc>
      </w:tr>
    </w:tbl>
    <w:p w:rsidR="00737FB4" w:rsidRDefault="00737FB4" w:rsidP="009607DC"/>
    <w:sectPr w:rsidR="00737FB4" w:rsidSect="000C7468">
      <w:footerReference w:type="default" r:id="rId7"/>
      <w:pgSz w:w="11906" w:h="16838"/>
      <w:pgMar w:top="1440"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F6" w:rsidRDefault="00753EF6" w:rsidP="00966F7F">
      <w:r>
        <w:separator/>
      </w:r>
    </w:p>
  </w:endnote>
  <w:endnote w:type="continuationSeparator" w:id="0">
    <w:p w:rsidR="00753EF6" w:rsidRDefault="00753EF6" w:rsidP="00966F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TXi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2150"/>
      <w:docPartObj>
        <w:docPartGallery w:val="Page Numbers (Bottom of Page)"/>
        <w:docPartUnique/>
      </w:docPartObj>
    </w:sdtPr>
    <w:sdtContent>
      <w:p w:rsidR="00B43E31" w:rsidRDefault="00F025F9" w:rsidP="00B43E31">
        <w:pPr>
          <w:pStyle w:val="a4"/>
          <w:jc w:val="center"/>
        </w:pPr>
        <w:r>
          <w:fldChar w:fldCharType="begin"/>
        </w:r>
        <w:r w:rsidR="00B43E31">
          <w:instrText>PAGE   \* MERGEFORMAT</w:instrText>
        </w:r>
        <w:r>
          <w:fldChar w:fldCharType="separate"/>
        </w:r>
        <w:r w:rsidR="00D15C1A" w:rsidRPr="00D15C1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F6" w:rsidRDefault="00753EF6" w:rsidP="00966F7F">
      <w:r>
        <w:separator/>
      </w:r>
    </w:p>
  </w:footnote>
  <w:footnote w:type="continuationSeparator" w:id="0">
    <w:p w:rsidR="00753EF6" w:rsidRDefault="00753EF6" w:rsidP="0096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966F7F"/>
    <w:rsid w:val="00012DE1"/>
    <w:rsid w:val="0002335B"/>
    <w:rsid w:val="000234CE"/>
    <w:rsid w:val="000235A5"/>
    <w:rsid w:val="00023DAF"/>
    <w:rsid w:val="0003021A"/>
    <w:rsid w:val="000305F3"/>
    <w:rsid w:val="00030C09"/>
    <w:rsid w:val="00034E07"/>
    <w:rsid w:val="00036000"/>
    <w:rsid w:val="00050C79"/>
    <w:rsid w:val="00051230"/>
    <w:rsid w:val="000555AD"/>
    <w:rsid w:val="000637CF"/>
    <w:rsid w:val="000668A4"/>
    <w:rsid w:val="00070D26"/>
    <w:rsid w:val="0007612C"/>
    <w:rsid w:val="00076FC0"/>
    <w:rsid w:val="0008039F"/>
    <w:rsid w:val="0008379E"/>
    <w:rsid w:val="0008463C"/>
    <w:rsid w:val="00087F56"/>
    <w:rsid w:val="00092529"/>
    <w:rsid w:val="000954EF"/>
    <w:rsid w:val="000959A8"/>
    <w:rsid w:val="00095BB7"/>
    <w:rsid w:val="00097E4D"/>
    <w:rsid w:val="000A3E50"/>
    <w:rsid w:val="000A4523"/>
    <w:rsid w:val="000B649D"/>
    <w:rsid w:val="000C32C7"/>
    <w:rsid w:val="000C7468"/>
    <w:rsid w:val="000C7A2F"/>
    <w:rsid w:val="000D73A0"/>
    <w:rsid w:val="000D79DC"/>
    <w:rsid w:val="000E68E0"/>
    <w:rsid w:val="000F11DA"/>
    <w:rsid w:val="000F3A3D"/>
    <w:rsid w:val="000F3E3A"/>
    <w:rsid w:val="000F5493"/>
    <w:rsid w:val="000F7A1D"/>
    <w:rsid w:val="001040E9"/>
    <w:rsid w:val="001051CB"/>
    <w:rsid w:val="001079F8"/>
    <w:rsid w:val="00115E85"/>
    <w:rsid w:val="00126D9A"/>
    <w:rsid w:val="00136021"/>
    <w:rsid w:val="001423B5"/>
    <w:rsid w:val="0014298F"/>
    <w:rsid w:val="001430C8"/>
    <w:rsid w:val="00143619"/>
    <w:rsid w:val="001507D7"/>
    <w:rsid w:val="00151275"/>
    <w:rsid w:val="001518E3"/>
    <w:rsid w:val="0016033D"/>
    <w:rsid w:val="00162F36"/>
    <w:rsid w:val="00192A44"/>
    <w:rsid w:val="001979AF"/>
    <w:rsid w:val="001A08BA"/>
    <w:rsid w:val="001A1DDA"/>
    <w:rsid w:val="001A3383"/>
    <w:rsid w:val="001A51BC"/>
    <w:rsid w:val="001A63D2"/>
    <w:rsid w:val="001A6B2E"/>
    <w:rsid w:val="001A6EFD"/>
    <w:rsid w:val="001A7E82"/>
    <w:rsid w:val="001B1631"/>
    <w:rsid w:val="001B3FFF"/>
    <w:rsid w:val="001C454D"/>
    <w:rsid w:val="001D58B0"/>
    <w:rsid w:val="001D7DF1"/>
    <w:rsid w:val="001E36A5"/>
    <w:rsid w:val="001E4008"/>
    <w:rsid w:val="001E4A18"/>
    <w:rsid w:val="001F08AB"/>
    <w:rsid w:val="001F7388"/>
    <w:rsid w:val="00200009"/>
    <w:rsid w:val="00201F58"/>
    <w:rsid w:val="00206805"/>
    <w:rsid w:val="002068E6"/>
    <w:rsid w:val="00206BCA"/>
    <w:rsid w:val="002112A6"/>
    <w:rsid w:val="0021649C"/>
    <w:rsid w:val="00216EE9"/>
    <w:rsid w:val="00224017"/>
    <w:rsid w:val="0022619D"/>
    <w:rsid w:val="00234E69"/>
    <w:rsid w:val="002366A2"/>
    <w:rsid w:val="002371DB"/>
    <w:rsid w:val="00240D47"/>
    <w:rsid w:val="00246DE6"/>
    <w:rsid w:val="00251469"/>
    <w:rsid w:val="00253992"/>
    <w:rsid w:val="00267B1A"/>
    <w:rsid w:val="00274117"/>
    <w:rsid w:val="00276700"/>
    <w:rsid w:val="002862B0"/>
    <w:rsid w:val="002870CE"/>
    <w:rsid w:val="002A0897"/>
    <w:rsid w:val="002A0DAF"/>
    <w:rsid w:val="002A1D94"/>
    <w:rsid w:val="002A4D7E"/>
    <w:rsid w:val="002B0A23"/>
    <w:rsid w:val="002B2ADC"/>
    <w:rsid w:val="002B5D0D"/>
    <w:rsid w:val="002B606D"/>
    <w:rsid w:val="002B69B1"/>
    <w:rsid w:val="002C46B2"/>
    <w:rsid w:val="002C6111"/>
    <w:rsid w:val="002C6C67"/>
    <w:rsid w:val="002D5CE8"/>
    <w:rsid w:val="002E152D"/>
    <w:rsid w:val="002F38E0"/>
    <w:rsid w:val="002F3F62"/>
    <w:rsid w:val="002F7099"/>
    <w:rsid w:val="003001E7"/>
    <w:rsid w:val="00303028"/>
    <w:rsid w:val="0030446A"/>
    <w:rsid w:val="00305762"/>
    <w:rsid w:val="00313EF4"/>
    <w:rsid w:val="00315DC1"/>
    <w:rsid w:val="00321050"/>
    <w:rsid w:val="00323B43"/>
    <w:rsid w:val="00324EE0"/>
    <w:rsid w:val="00325E45"/>
    <w:rsid w:val="00331B51"/>
    <w:rsid w:val="00331D38"/>
    <w:rsid w:val="00335CEC"/>
    <w:rsid w:val="00341057"/>
    <w:rsid w:val="00341BFD"/>
    <w:rsid w:val="00346F21"/>
    <w:rsid w:val="003476D9"/>
    <w:rsid w:val="0035002C"/>
    <w:rsid w:val="00355150"/>
    <w:rsid w:val="00360629"/>
    <w:rsid w:val="00363FA1"/>
    <w:rsid w:val="00372319"/>
    <w:rsid w:val="003726BC"/>
    <w:rsid w:val="00386CEB"/>
    <w:rsid w:val="0039237C"/>
    <w:rsid w:val="00395028"/>
    <w:rsid w:val="00396BE6"/>
    <w:rsid w:val="003A6A43"/>
    <w:rsid w:val="003A7DDF"/>
    <w:rsid w:val="003B1516"/>
    <w:rsid w:val="003B6FF8"/>
    <w:rsid w:val="003C1E74"/>
    <w:rsid w:val="003C2C47"/>
    <w:rsid w:val="003D37D8"/>
    <w:rsid w:val="003D5A61"/>
    <w:rsid w:val="003D69E4"/>
    <w:rsid w:val="003D7211"/>
    <w:rsid w:val="003E0728"/>
    <w:rsid w:val="003E7EB9"/>
    <w:rsid w:val="003F0C30"/>
    <w:rsid w:val="0040110A"/>
    <w:rsid w:val="0040684A"/>
    <w:rsid w:val="00407571"/>
    <w:rsid w:val="00411261"/>
    <w:rsid w:val="00421F75"/>
    <w:rsid w:val="00426426"/>
    <w:rsid w:val="00427202"/>
    <w:rsid w:val="004356C4"/>
    <w:rsid w:val="004358AB"/>
    <w:rsid w:val="0043676E"/>
    <w:rsid w:val="00446D96"/>
    <w:rsid w:val="0045041F"/>
    <w:rsid w:val="004508BF"/>
    <w:rsid w:val="00455325"/>
    <w:rsid w:val="00460521"/>
    <w:rsid w:val="004626B3"/>
    <w:rsid w:val="004667AB"/>
    <w:rsid w:val="004717CB"/>
    <w:rsid w:val="00472D2B"/>
    <w:rsid w:val="00481B45"/>
    <w:rsid w:val="00484E0C"/>
    <w:rsid w:val="004861B8"/>
    <w:rsid w:val="00487A08"/>
    <w:rsid w:val="004953B5"/>
    <w:rsid w:val="004A6DBE"/>
    <w:rsid w:val="004A712E"/>
    <w:rsid w:val="004B6E42"/>
    <w:rsid w:val="004C3D5D"/>
    <w:rsid w:val="004D35CF"/>
    <w:rsid w:val="004D3998"/>
    <w:rsid w:val="004D5AC9"/>
    <w:rsid w:val="004E2650"/>
    <w:rsid w:val="004E4BFE"/>
    <w:rsid w:val="004F13F0"/>
    <w:rsid w:val="005026FF"/>
    <w:rsid w:val="0050639F"/>
    <w:rsid w:val="005103CE"/>
    <w:rsid w:val="00517200"/>
    <w:rsid w:val="00521412"/>
    <w:rsid w:val="00523749"/>
    <w:rsid w:val="00530144"/>
    <w:rsid w:val="00535B00"/>
    <w:rsid w:val="00536F52"/>
    <w:rsid w:val="005414C0"/>
    <w:rsid w:val="00551281"/>
    <w:rsid w:val="00553F85"/>
    <w:rsid w:val="00554512"/>
    <w:rsid w:val="00563AE6"/>
    <w:rsid w:val="00563AF2"/>
    <w:rsid w:val="00564F99"/>
    <w:rsid w:val="00566199"/>
    <w:rsid w:val="00567211"/>
    <w:rsid w:val="0057177C"/>
    <w:rsid w:val="005740F6"/>
    <w:rsid w:val="00574510"/>
    <w:rsid w:val="00577817"/>
    <w:rsid w:val="00581E0D"/>
    <w:rsid w:val="00590225"/>
    <w:rsid w:val="00592330"/>
    <w:rsid w:val="00595811"/>
    <w:rsid w:val="00596BD9"/>
    <w:rsid w:val="005971A3"/>
    <w:rsid w:val="005A17AE"/>
    <w:rsid w:val="005A1C71"/>
    <w:rsid w:val="005A2D21"/>
    <w:rsid w:val="005A6B89"/>
    <w:rsid w:val="005B2209"/>
    <w:rsid w:val="005B28F4"/>
    <w:rsid w:val="005C19E8"/>
    <w:rsid w:val="005C3383"/>
    <w:rsid w:val="005C463C"/>
    <w:rsid w:val="005C7CBB"/>
    <w:rsid w:val="005D03DE"/>
    <w:rsid w:val="005D100F"/>
    <w:rsid w:val="005D2EDB"/>
    <w:rsid w:val="005D35B3"/>
    <w:rsid w:val="005E0C1A"/>
    <w:rsid w:val="005E4177"/>
    <w:rsid w:val="005E49C7"/>
    <w:rsid w:val="005F32B9"/>
    <w:rsid w:val="005F4378"/>
    <w:rsid w:val="005F61A4"/>
    <w:rsid w:val="0060667A"/>
    <w:rsid w:val="006106D7"/>
    <w:rsid w:val="00611D81"/>
    <w:rsid w:val="00611F06"/>
    <w:rsid w:val="00621A43"/>
    <w:rsid w:val="0062535A"/>
    <w:rsid w:val="00626409"/>
    <w:rsid w:val="00633B7C"/>
    <w:rsid w:val="006341BC"/>
    <w:rsid w:val="00641160"/>
    <w:rsid w:val="00643E61"/>
    <w:rsid w:val="00651D48"/>
    <w:rsid w:val="00651DDF"/>
    <w:rsid w:val="00655293"/>
    <w:rsid w:val="006557EF"/>
    <w:rsid w:val="00656171"/>
    <w:rsid w:val="00661DC6"/>
    <w:rsid w:val="00663101"/>
    <w:rsid w:val="00672DA5"/>
    <w:rsid w:val="0067381F"/>
    <w:rsid w:val="00673C39"/>
    <w:rsid w:val="006831C9"/>
    <w:rsid w:val="00692572"/>
    <w:rsid w:val="006A26C7"/>
    <w:rsid w:val="006B3140"/>
    <w:rsid w:val="006C0CAF"/>
    <w:rsid w:val="006C2D0F"/>
    <w:rsid w:val="006D07FC"/>
    <w:rsid w:val="006D1518"/>
    <w:rsid w:val="006D253A"/>
    <w:rsid w:val="006E50D2"/>
    <w:rsid w:val="006F6695"/>
    <w:rsid w:val="006F71DC"/>
    <w:rsid w:val="00707230"/>
    <w:rsid w:val="00710754"/>
    <w:rsid w:val="00730EB2"/>
    <w:rsid w:val="00731D9F"/>
    <w:rsid w:val="00736808"/>
    <w:rsid w:val="00737FB4"/>
    <w:rsid w:val="00743FE6"/>
    <w:rsid w:val="007460E3"/>
    <w:rsid w:val="007474FF"/>
    <w:rsid w:val="00747F52"/>
    <w:rsid w:val="007508FA"/>
    <w:rsid w:val="00753EF6"/>
    <w:rsid w:val="007544CE"/>
    <w:rsid w:val="007635A9"/>
    <w:rsid w:val="00764DC6"/>
    <w:rsid w:val="0077194C"/>
    <w:rsid w:val="00774357"/>
    <w:rsid w:val="00780B1B"/>
    <w:rsid w:val="0078217F"/>
    <w:rsid w:val="007858BF"/>
    <w:rsid w:val="0079036B"/>
    <w:rsid w:val="007931A5"/>
    <w:rsid w:val="00793EC8"/>
    <w:rsid w:val="007B1201"/>
    <w:rsid w:val="007C1EFC"/>
    <w:rsid w:val="007D0C56"/>
    <w:rsid w:val="007D3587"/>
    <w:rsid w:val="007E5FE6"/>
    <w:rsid w:val="007E648F"/>
    <w:rsid w:val="007E72CE"/>
    <w:rsid w:val="007F6F3D"/>
    <w:rsid w:val="00800D3A"/>
    <w:rsid w:val="00803B9A"/>
    <w:rsid w:val="00803F30"/>
    <w:rsid w:val="00804922"/>
    <w:rsid w:val="00814A96"/>
    <w:rsid w:val="00816C32"/>
    <w:rsid w:val="008176FD"/>
    <w:rsid w:val="00820723"/>
    <w:rsid w:val="0082088F"/>
    <w:rsid w:val="00821CB8"/>
    <w:rsid w:val="0082444C"/>
    <w:rsid w:val="00824824"/>
    <w:rsid w:val="00833193"/>
    <w:rsid w:val="008346E1"/>
    <w:rsid w:val="0083565E"/>
    <w:rsid w:val="008365AE"/>
    <w:rsid w:val="008421B6"/>
    <w:rsid w:val="00856B3B"/>
    <w:rsid w:val="00860F53"/>
    <w:rsid w:val="008665C0"/>
    <w:rsid w:val="0087199A"/>
    <w:rsid w:val="00872DC3"/>
    <w:rsid w:val="00873A39"/>
    <w:rsid w:val="0087515F"/>
    <w:rsid w:val="00877220"/>
    <w:rsid w:val="00881B89"/>
    <w:rsid w:val="008837C4"/>
    <w:rsid w:val="00886A27"/>
    <w:rsid w:val="00890CE9"/>
    <w:rsid w:val="008A2339"/>
    <w:rsid w:val="008A3FFB"/>
    <w:rsid w:val="008A6037"/>
    <w:rsid w:val="008B1576"/>
    <w:rsid w:val="008B7726"/>
    <w:rsid w:val="008C488E"/>
    <w:rsid w:val="008D0573"/>
    <w:rsid w:val="008E075B"/>
    <w:rsid w:val="008E2FBC"/>
    <w:rsid w:val="008F1AF4"/>
    <w:rsid w:val="008F2479"/>
    <w:rsid w:val="008F4960"/>
    <w:rsid w:val="008F508F"/>
    <w:rsid w:val="008F5238"/>
    <w:rsid w:val="009060AF"/>
    <w:rsid w:val="009079F3"/>
    <w:rsid w:val="00912628"/>
    <w:rsid w:val="009156EA"/>
    <w:rsid w:val="00917768"/>
    <w:rsid w:val="0092067E"/>
    <w:rsid w:val="00931158"/>
    <w:rsid w:val="00933B1C"/>
    <w:rsid w:val="00934430"/>
    <w:rsid w:val="00940281"/>
    <w:rsid w:val="0094068E"/>
    <w:rsid w:val="0094679F"/>
    <w:rsid w:val="00951877"/>
    <w:rsid w:val="00951E64"/>
    <w:rsid w:val="009541D7"/>
    <w:rsid w:val="009607DC"/>
    <w:rsid w:val="00962DAD"/>
    <w:rsid w:val="00966F7F"/>
    <w:rsid w:val="0097048C"/>
    <w:rsid w:val="0097691C"/>
    <w:rsid w:val="00983062"/>
    <w:rsid w:val="009842C1"/>
    <w:rsid w:val="00985450"/>
    <w:rsid w:val="009941A4"/>
    <w:rsid w:val="009A260F"/>
    <w:rsid w:val="009A31FF"/>
    <w:rsid w:val="009A3434"/>
    <w:rsid w:val="009A3A29"/>
    <w:rsid w:val="009B2D4E"/>
    <w:rsid w:val="009B6E22"/>
    <w:rsid w:val="009C0011"/>
    <w:rsid w:val="009C23DD"/>
    <w:rsid w:val="009C6FFE"/>
    <w:rsid w:val="009D0835"/>
    <w:rsid w:val="009D7583"/>
    <w:rsid w:val="009E017F"/>
    <w:rsid w:val="009E2BD4"/>
    <w:rsid w:val="009E5E44"/>
    <w:rsid w:val="009F0979"/>
    <w:rsid w:val="009F107F"/>
    <w:rsid w:val="009F1A88"/>
    <w:rsid w:val="009F4C49"/>
    <w:rsid w:val="009F5925"/>
    <w:rsid w:val="009F724D"/>
    <w:rsid w:val="00A040E3"/>
    <w:rsid w:val="00A145C7"/>
    <w:rsid w:val="00A30F53"/>
    <w:rsid w:val="00A31A84"/>
    <w:rsid w:val="00A3451F"/>
    <w:rsid w:val="00A370A8"/>
    <w:rsid w:val="00A458E9"/>
    <w:rsid w:val="00A510B3"/>
    <w:rsid w:val="00A6297C"/>
    <w:rsid w:val="00A633EA"/>
    <w:rsid w:val="00A66538"/>
    <w:rsid w:val="00A665D7"/>
    <w:rsid w:val="00A7253D"/>
    <w:rsid w:val="00A725B6"/>
    <w:rsid w:val="00A75390"/>
    <w:rsid w:val="00A75962"/>
    <w:rsid w:val="00A82B42"/>
    <w:rsid w:val="00A8584C"/>
    <w:rsid w:val="00A94F81"/>
    <w:rsid w:val="00A97BF5"/>
    <w:rsid w:val="00AA1363"/>
    <w:rsid w:val="00AA416E"/>
    <w:rsid w:val="00AA5303"/>
    <w:rsid w:val="00AA62AB"/>
    <w:rsid w:val="00AA7E4E"/>
    <w:rsid w:val="00AB220C"/>
    <w:rsid w:val="00AB3A44"/>
    <w:rsid w:val="00AB45E1"/>
    <w:rsid w:val="00AB6187"/>
    <w:rsid w:val="00AC013F"/>
    <w:rsid w:val="00AC1865"/>
    <w:rsid w:val="00AC21EB"/>
    <w:rsid w:val="00AC3537"/>
    <w:rsid w:val="00AC5360"/>
    <w:rsid w:val="00AC5F59"/>
    <w:rsid w:val="00AD01C4"/>
    <w:rsid w:val="00AD1623"/>
    <w:rsid w:val="00AE10BB"/>
    <w:rsid w:val="00AE26AC"/>
    <w:rsid w:val="00AE2C8B"/>
    <w:rsid w:val="00AE4EB9"/>
    <w:rsid w:val="00AE536A"/>
    <w:rsid w:val="00AE6DDC"/>
    <w:rsid w:val="00AF1C34"/>
    <w:rsid w:val="00AF3787"/>
    <w:rsid w:val="00B040BF"/>
    <w:rsid w:val="00B0595E"/>
    <w:rsid w:val="00B12FED"/>
    <w:rsid w:val="00B1397A"/>
    <w:rsid w:val="00B20092"/>
    <w:rsid w:val="00B228C3"/>
    <w:rsid w:val="00B323DD"/>
    <w:rsid w:val="00B33438"/>
    <w:rsid w:val="00B36F45"/>
    <w:rsid w:val="00B400A4"/>
    <w:rsid w:val="00B413B9"/>
    <w:rsid w:val="00B43E31"/>
    <w:rsid w:val="00B452E9"/>
    <w:rsid w:val="00B45E75"/>
    <w:rsid w:val="00B47804"/>
    <w:rsid w:val="00B54F07"/>
    <w:rsid w:val="00B6574A"/>
    <w:rsid w:val="00B70C6B"/>
    <w:rsid w:val="00B723D3"/>
    <w:rsid w:val="00B73027"/>
    <w:rsid w:val="00B766F8"/>
    <w:rsid w:val="00B818B3"/>
    <w:rsid w:val="00B86359"/>
    <w:rsid w:val="00B86D44"/>
    <w:rsid w:val="00B952A1"/>
    <w:rsid w:val="00B962E0"/>
    <w:rsid w:val="00B964AA"/>
    <w:rsid w:val="00BA3C30"/>
    <w:rsid w:val="00BA41EA"/>
    <w:rsid w:val="00BA4356"/>
    <w:rsid w:val="00BA4569"/>
    <w:rsid w:val="00BB09F9"/>
    <w:rsid w:val="00BB2BDE"/>
    <w:rsid w:val="00BB3C05"/>
    <w:rsid w:val="00BB4916"/>
    <w:rsid w:val="00BB4B5D"/>
    <w:rsid w:val="00BB5D3F"/>
    <w:rsid w:val="00BB767F"/>
    <w:rsid w:val="00BC0E9B"/>
    <w:rsid w:val="00BC47A2"/>
    <w:rsid w:val="00BC6C08"/>
    <w:rsid w:val="00BD1E5E"/>
    <w:rsid w:val="00BD21BB"/>
    <w:rsid w:val="00BD61FA"/>
    <w:rsid w:val="00BF0C1C"/>
    <w:rsid w:val="00BF2D39"/>
    <w:rsid w:val="00BF52D5"/>
    <w:rsid w:val="00BF5AE1"/>
    <w:rsid w:val="00C11442"/>
    <w:rsid w:val="00C1434A"/>
    <w:rsid w:val="00C218A1"/>
    <w:rsid w:val="00C2295F"/>
    <w:rsid w:val="00C23DFD"/>
    <w:rsid w:val="00C324B7"/>
    <w:rsid w:val="00C33D03"/>
    <w:rsid w:val="00C3666D"/>
    <w:rsid w:val="00C36C29"/>
    <w:rsid w:val="00C37846"/>
    <w:rsid w:val="00C379D7"/>
    <w:rsid w:val="00C37AF8"/>
    <w:rsid w:val="00C44266"/>
    <w:rsid w:val="00C54530"/>
    <w:rsid w:val="00C677A4"/>
    <w:rsid w:val="00C72292"/>
    <w:rsid w:val="00C74153"/>
    <w:rsid w:val="00C75592"/>
    <w:rsid w:val="00C777E7"/>
    <w:rsid w:val="00C80499"/>
    <w:rsid w:val="00C873CC"/>
    <w:rsid w:val="00C94705"/>
    <w:rsid w:val="00CA351A"/>
    <w:rsid w:val="00CA7C79"/>
    <w:rsid w:val="00CB6D5A"/>
    <w:rsid w:val="00CC1402"/>
    <w:rsid w:val="00CD52B2"/>
    <w:rsid w:val="00CE25B7"/>
    <w:rsid w:val="00CE7698"/>
    <w:rsid w:val="00CF3E6B"/>
    <w:rsid w:val="00D03EDA"/>
    <w:rsid w:val="00D05AF9"/>
    <w:rsid w:val="00D06315"/>
    <w:rsid w:val="00D0686C"/>
    <w:rsid w:val="00D153B9"/>
    <w:rsid w:val="00D15B01"/>
    <w:rsid w:val="00D15C1A"/>
    <w:rsid w:val="00D25ADA"/>
    <w:rsid w:val="00D364DD"/>
    <w:rsid w:val="00D407E0"/>
    <w:rsid w:val="00D4316D"/>
    <w:rsid w:val="00D43ECA"/>
    <w:rsid w:val="00D47431"/>
    <w:rsid w:val="00D47FFE"/>
    <w:rsid w:val="00D52057"/>
    <w:rsid w:val="00D545C0"/>
    <w:rsid w:val="00D637EC"/>
    <w:rsid w:val="00D674DE"/>
    <w:rsid w:val="00D70C5E"/>
    <w:rsid w:val="00D823DA"/>
    <w:rsid w:val="00D85094"/>
    <w:rsid w:val="00D964D3"/>
    <w:rsid w:val="00DA0A0F"/>
    <w:rsid w:val="00DA2FA7"/>
    <w:rsid w:val="00DA58F2"/>
    <w:rsid w:val="00DB7D16"/>
    <w:rsid w:val="00DC6CF0"/>
    <w:rsid w:val="00DD34B8"/>
    <w:rsid w:val="00DE4277"/>
    <w:rsid w:val="00DF3E78"/>
    <w:rsid w:val="00DF672D"/>
    <w:rsid w:val="00E04A48"/>
    <w:rsid w:val="00E05DA2"/>
    <w:rsid w:val="00E06913"/>
    <w:rsid w:val="00E11004"/>
    <w:rsid w:val="00E23CBC"/>
    <w:rsid w:val="00E270D7"/>
    <w:rsid w:val="00E320CD"/>
    <w:rsid w:val="00E36243"/>
    <w:rsid w:val="00E36DD8"/>
    <w:rsid w:val="00E3726D"/>
    <w:rsid w:val="00E432C1"/>
    <w:rsid w:val="00E43E0C"/>
    <w:rsid w:val="00E45CCD"/>
    <w:rsid w:val="00E47849"/>
    <w:rsid w:val="00E4792D"/>
    <w:rsid w:val="00E5135F"/>
    <w:rsid w:val="00E537D4"/>
    <w:rsid w:val="00E62096"/>
    <w:rsid w:val="00E70118"/>
    <w:rsid w:val="00E71EC5"/>
    <w:rsid w:val="00E8623B"/>
    <w:rsid w:val="00E90834"/>
    <w:rsid w:val="00E90AA7"/>
    <w:rsid w:val="00E927A7"/>
    <w:rsid w:val="00E96435"/>
    <w:rsid w:val="00EA5A39"/>
    <w:rsid w:val="00EB2B55"/>
    <w:rsid w:val="00EB463D"/>
    <w:rsid w:val="00EB5FF5"/>
    <w:rsid w:val="00EB7853"/>
    <w:rsid w:val="00EC1473"/>
    <w:rsid w:val="00EC7902"/>
    <w:rsid w:val="00EC7AEB"/>
    <w:rsid w:val="00ED5761"/>
    <w:rsid w:val="00EE4BBF"/>
    <w:rsid w:val="00EF2EE3"/>
    <w:rsid w:val="00EF5F2E"/>
    <w:rsid w:val="00F00C19"/>
    <w:rsid w:val="00F025F9"/>
    <w:rsid w:val="00F04461"/>
    <w:rsid w:val="00F052DE"/>
    <w:rsid w:val="00F063A4"/>
    <w:rsid w:val="00F07A0F"/>
    <w:rsid w:val="00F10408"/>
    <w:rsid w:val="00F10C89"/>
    <w:rsid w:val="00F115AF"/>
    <w:rsid w:val="00F13F38"/>
    <w:rsid w:val="00F15DDE"/>
    <w:rsid w:val="00F162E8"/>
    <w:rsid w:val="00F2716F"/>
    <w:rsid w:val="00F33239"/>
    <w:rsid w:val="00F40035"/>
    <w:rsid w:val="00F40BEA"/>
    <w:rsid w:val="00F43C24"/>
    <w:rsid w:val="00F46500"/>
    <w:rsid w:val="00F53D22"/>
    <w:rsid w:val="00F62262"/>
    <w:rsid w:val="00F67277"/>
    <w:rsid w:val="00F7002B"/>
    <w:rsid w:val="00F71BD4"/>
    <w:rsid w:val="00F72C02"/>
    <w:rsid w:val="00F73617"/>
    <w:rsid w:val="00F7613D"/>
    <w:rsid w:val="00F81A8C"/>
    <w:rsid w:val="00F956EF"/>
    <w:rsid w:val="00FA0B97"/>
    <w:rsid w:val="00FA322C"/>
    <w:rsid w:val="00FA57BC"/>
    <w:rsid w:val="00FC1072"/>
    <w:rsid w:val="00FD1DF6"/>
    <w:rsid w:val="00FD594F"/>
    <w:rsid w:val="00FD6402"/>
    <w:rsid w:val="00FE052B"/>
    <w:rsid w:val="00FE4D79"/>
    <w:rsid w:val="00FE5AF7"/>
    <w:rsid w:val="00FE7179"/>
    <w:rsid w:val="00FF07F4"/>
    <w:rsid w:val="00FF30AB"/>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 w:type="paragraph" w:customStyle="1" w:styleId="005">
    <w:name w:val="005正文"/>
    <w:basedOn w:val="a"/>
    <w:link w:val="005Char"/>
    <w:rsid w:val="00360629"/>
    <w:pPr>
      <w:spacing w:beforeLines="50" w:afterLines="50" w:line="360" w:lineRule="auto"/>
      <w:ind w:firstLineChars="200" w:firstLine="200"/>
    </w:pPr>
    <w:rPr>
      <w:sz w:val="24"/>
      <w:szCs w:val="22"/>
    </w:rPr>
  </w:style>
  <w:style w:type="character" w:customStyle="1" w:styleId="005Char">
    <w:name w:val="005正文 Char"/>
    <w:link w:val="005"/>
    <w:rsid w:val="00360629"/>
    <w:rPr>
      <w:rFonts w:ascii="Times New Roman" w:eastAsia="宋体" w:hAnsi="Times New Roman" w:cs="Times New Roman"/>
      <w:kern w:val="2"/>
      <w:sz w:val="24"/>
    </w:rPr>
  </w:style>
</w:styles>
</file>

<file path=word/webSettings.xml><?xml version="1.0" encoding="utf-8"?>
<w:webSettings xmlns:r="http://schemas.openxmlformats.org/officeDocument/2006/relationships" xmlns:w="http://schemas.openxmlformats.org/wordprocessingml/2006/main">
  <w:divs>
    <w:div w:id="87971445">
      <w:bodyDiv w:val="1"/>
      <w:marLeft w:val="0"/>
      <w:marRight w:val="0"/>
      <w:marTop w:val="0"/>
      <w:marBottom w:val="0"/>
      <w:divBdr>
        <w:top w:val="none" w:sz="0" w:space="0" w:color="auto"/>
        <w:left w:val="none" w:sz="0" w:space="0" w:color="auto"/>
        <w:bottom w:val="none" w:sz="0" w:space="0" w:color="auto"/>
        <w:right w:val="none" w:sz="0" w:space="0" w:color="auto"/>
      </w:divBdr>
      <w:divsChild>
        <w:div w:id="1645692624">
          <w:marLeft w:val="0"/>
          <w:marRight w:val="0"/>
          <w:marTop w:val="0"/>
          <w:marBottom w:val="0"/>
          <w:divBdr>
            <w:top w:val="none" w:sz="0" w:space="0" w:color="auto"/>
            <w:left w:val="none" w:sz="0" w:space="0" w:color="auto"/>
            <w:bottom w:val="none" w:sz="0" w:space="0" w:color="auto"/>
            <w:right w:val="none" w:sz="0" w:space="0" w:color="auto"/>
          </w:divBdr>
        </w:div>
        <w:div w:id="699932761">
          <w:marLeft w:val="0"/>
          <w:marRight w:val="0"/>
          <w:marTop w:val="0"/>
          <w:marBottom w:val="0"/>
          <w:divBdr>
            <w:top w:val="none" w:sz="0" w:space="0" w:color="auto"/>
            <w:left w:val="none" w:sz="0" w:space="0" w:color="auto"/>
            <w:bottom w:val="none" w:sz="0" w:space="0" w:color="auto"/>
            <w:right w:val="none" w:sz="0" w:space="0" w:color="auto"/>
          </w:divBdr>
        </w:div>
      </w:divsChild>
    </w:div>
    <w:div w:id="145705125">
      <w:bodyDiv w:val="1"/>
      <w:marLeft w:val="0"/>
      <w:marRight w:val="0"/>
      <w:marTop w:val="0"/>
      <w:marBottom w:val="0"/>
      <w:divBdr>
        <w:top w:val="none" w:sz="0" w:space="0" w:color="auto"/>
        <w:left w:val="none" w:sz="0" w:space="0" w:color="auto"/>
        <w:bottom w:val="none" w:sz="0" w:space="0" w:color="auto"/>
        <w:right w:val="none" w:sz="0" w:space="0" w:color="auto"/>
      </w:divBdr>
    </w:div>
    <w:div w:id="162471342">
      <w:bodyDiv w:val="1"/>
      <w:marLeft w:val="0"/>
      <w:marRight w:val="0"/>
      <w:marTop w:val="0"/>
      <w:marBottom w:val="0"/>
      <w:divBdr>
        <w:top w:val="none" w:sz="0" w:space="0" w:color="auto"/>
        <w:left w:val="none" w:sz="0" w:space="0" w:color="auto"/>
        <w:bottom w:val="none" w:sz="0" w:space="0" w:color="auto"/>
        <w:right w:val="none" w:sz="0" w:space="0" w:color="auto"/>
      </w:divBdr>
      <w:divsChild>
        <w:div w:id="2022394988">
          <w:marLeft w:val="0"/>
          <w:marRight w:val="0"/>
          <w:marTop w:val="0"/>
          <w:marBottom w:val="0"/>
          <w:divBdr>
            <w:top w:val="none" w:sz="0" w:space="0" w:color="auto"/>
            <w:left w:val="none" w:sz="0" w:space="0" w:color="auto"/>
            <w:bottom w:val="none" w:sz="0" w:space="0" w:color="auto"/>
            <w:right w:val="none" w:sz="0" w:space="0" w:color="auto"/>
          </w:divBdr>
        </w:div>
        <w:div w:id="1935480303">
          <w:marLeft w:val="0"/>
          <w:marRight w:val="0"/>
          <w:marTop w:val="0"/>
          <w:marBottom w:val="0"/>
          <w:divBdr>
            <w:top w:val="none" w:sz="0" w:space="0" w:color="auto"/>
            <w:left w:val="none" w:sz="0" w:space="0" w:color="auto"/>
            <w:bottom w:val="none" w:sz="0" w:space="0" w:color="auto"/>
            <w:right w:val="none" w:sz="0" w:space="0" w:color="auto"/>
          </w:divBdr>
        </w:div>
      </w:divsChild>
    </w:div>
    <w:div w:id="631981044">
      <w:bodyDiv w:val="1"/>
      <w:marLeft w:val="0"/>
      <w:marRight w:val="0"/>
      <w:marTop w:val="0"/>
      <w:marBottom w:val="0"/>
      <w:divBdr>
        <w:top w:val="none" w:sz="0" w:space="0" w:color="auto"/>
        <w:left w:val="none" w:sz="0" w:space="0" w:color="auto"/>
        <w:bottom w:val="none" w:sz="0" w:space="0" w:color="auto"/>
        <w:right w:val="none" w:sz="0" w:space="0" w:color="auto"/>
      </w:divBdr>
      <w:divsChild>
        <w:div w:id="1363163798">
          <w:marLeft w:val="302"/>
          <w:marRight w:val="0"/>
          <w:marTop w:val="99"/>
          <w:marBottom w:val="0"/>
          <w:divBdr>
            <w:top w:val="none" w:sz="0" w:space="0" w:color="auto"/>
            <w:left w:val="none" w:sz="0" w:space="0" w:color="auto"/>
            <w:bottom w:val="none" w:sz="0" w:space="0" w:color="auto"/>
            <w:right w:val="none" w:sz="0" w:space="0" w:color="auto"/>
          </w:divBdr>
        </w:div>
      </w:divsChild>
    </w:div>
    <w:div w:id="894270909">
      <w:bodyDiv w:val="1"/>
      <w:marLeft w:val="0"/>
      <w:marRight w:val="0"/>
      <w:marTop w:val="0"/>
      <w:marBottom w:val="0"/>
      <w:divBdr>
        <w:top w:val="none" w:sz="0" w:space="0" w:color="auto"/>
        <w:left w:val="none" w:sz="0" w:space="0" w:color="auto"/>
        <w:bottom w:val="none" w:sz="0" w:space="0" w:color="auto"/>
        <w:right w:val="none" w:sz="0" w:space="0" w:color="auto"/>
      </w:divBdr>
    </w:div>
    <w:div w:id="1327514606">
      <w:bodyDiv w:val="1"/>
      <w:marLeft w:val="0"/>
      <w:marRight w:val="0"/>
      <w:marTop w:val="0"/>
      <w:marBottom w:val="0"/>
      <w:divBdr>
        <w:top w:val="none" w:sz="0" w:space="0" w:color="auto"/>
        <w:left w:val="none" w:sz="0" w:space="0" w:color="auto"/>
        <w:bottom w:val="none" w:sz="0" w:space="0" w:color="auto"/>
        <w:right w:val="none" w:sz="0" w:space="0" w:color="auto"/>
      </w:divBdr>
      <w:divsChild>
        <w:div w:id="1606041001">
          <w:marLeft w:val="0"/>
          <w:marRight w:val="0"/>
          <w:marTop w:val="0"/>
          <w:marBottom w:val="0"/>
          <w:divBdr>
            <w:top w:val="none" w:sz="0" w:space="0" w:color="auto"/>
            <w:left w:val="none" w:sz="0" w:space="0" w:color="auto"/>
            <w:bottom w:val="none" w:sz="0" w:space="0" w:color="auto"/>
            <w:right w:val="none" w:sz="0" w:space="0" w:color="auto"/>
          </w:divBdr>
        </w:div>
        <w:div w:id="163595014">
          <w:marLeft w:val="0"/>
          <w:marRight w:val="0"/>
          <w:marTop w:val="0"/>
          <w:marBottom w:val="0"/>
          <w:divBdr>
            <w:top w:val="none" w:sz="0" w:space="0" w:color="auto"/>
            <w:left w:val="none" w:sz="0" w:space="0" w:color="auto"/>
            <w:bottom w:val="none" w:sz="0" w:space="0" w:color="auto"/>
            <w:right w:val="none" w:sz="0" w:space="0" w:color="auto"/>
          </w:divBdr>
        </w:div>
      </w:divsChild>
    </w:div>
    <w:div w:id="1496604842">
      <w:bodyDiv w:val="1"/>
      <w:marLeft w:val="0"/>
      <w:marRight w:val="0"/>
      <w:marTop w:val="0"/>
      <w:marBottom w:val="0"/>
      <w:divBdr>
        <w:top w:val="none" w:sz="0" w:space="0" w:color="auto"/>
        <w:left w:val="none" w:sz="0" w:space="0" w:color="auto"/>
        <w:bottom w:val="none" w:sz="0" w:space="0" w:color="auto"/>
        <w:right w:val="none" w:sz="0" w:space="0" w:color="auto"/>
      </w:divBdr>
      <w:divsChild>
        <w:div w:id="88157370">
          <w:marLeft w:val="0"/>
          <w:marRight w:val="0"/>
          <w:marTop w:val="0"/>
          <w:marBottom w:val="0"/>
          <w:divBdr>
            <w:top w:val="none" w:sz="0" w:space="0" w:color="auto"/>
            <w:left w:val="none" w:sz="0" w:space="0" w:color="auto"/>
            <w:bottom w:val="none" w:sz="0" w:space="0" w:color="auto"/>
            <w:right w:val="none" w:sz="0" w:space="0" w:color="auto"/>
          </w:divBdr>
        </w:div>
        <w:div w:id="2022049021">
          <w:marLeft w:val="0"/>
          <w:marRight w:val="0"/>
          <w:marTop w:val="0"/>
          <w:marBottom w:val="0"/>
          <w:divBdr>
            <w:top w:val="none" w:sz="0" w:space="0" w:color="auto"/>
            <w:left w:val="none" w:sz="0" w:space="0" w:color="auto"/>
            <w:bottom w:val="none" w:sz="0" w:space="0" w:color="auto"/>
            <w:right w:val="none" w:sz="0" w:space="0" w:color="auto"/>
          </w:divBdr>
        </w:div>
      </w:divsChild>
    </w:div>
    <w:div w:id="1736003171">
      <w:bodyDiv w:val="1"/>
      <w:marLeft w:val="0"/>
      <w:marRight w:val="0"/>
      <w:marTop w:val="0"/>
      <w:marBottom w:val="0"/>
      <w:divBdr>
        <w:top w:val="none" w:sz="0" w:space="0" w:color="auto"/>
        <w:left w:val="none" w:sz="0" w:space="0" w:color="auto"/>
        <w:bottom w:val="none" w:sz="0" w:space="0" w:color="auto"/>
        <w:right w:val="none" w:sz="0" w:space="0" w:color="auto"/>
      </w:divBdr>
      <w:divsChild>
        <w:div w:id="1338075543">
          <w:marLeft w:val="0"/>
          <w:marRight w:val="0"/>
          <w:marTop w:val="0"/>
          <w:marBottom w:val="0"/>
          <w:divBdr>
            <w:top w:val="none" w:sz="0" w:space="0" w:color="auto"/>
            <w:left w:val="none" w:sz="0" w:space="0" w:color="auto"/>
            <w:bottom w:val="none" w:sz="0" w:space="0" w:color="auto"/>
            <w:right w:val="none" w:sz="0" w:space="0" w:color="auto"/>
          </w:divBdr>
        </w:div>
        <w:div w:id="2046909756">
          <w:marLeft w:val="0"/>
          <w:marRight w:val="0"/>
          <w:marTop w:val="0"/>
          <w:marBottom w:val="0"/>
          <w:divBdr>
            <w:top w:val="none" w:sz="0" w:space="0" w:color="auto"/>
            <w:left w:val="none" w:sz="0" w:space="0" w:color="auto"/>
            <w:bottom w:val="none" w:sz="0" w:space="0" w:color="auto"/>
            <w:right w:val="none" w:sz="0" w:space="0" w:color="auto"/>
          </w:divBdr>
        </w:div>
      </w:divsChild>
    </w:div>
    <w:div w:id="2096435613">
      <w:bodyDiv w:val="1"/>
      <w:marLeft w:val="0"/>
      <w:marRight w:val="0"/>
      <w:marTop w:val="0"/>
      <w:marBottom w:val="0"/>
      <w:divBdr>
        <w:top w:val="none" w:sz="0" w:space="0" w:color="auto"/>
        <w:left w:val="none" w:sz="0" w:space="0" w:color="auto"/>
        <w:bottom w:val="none" w:sz="0" w:space="0" w:color="auto"/>
        <w:right w:val="none" w:sz="0" w:space="0" w:color="auto"/>
      </w:divBdr>
      <w:divsChild>
        <w:div w:id="2020112567">
          <w:marLeft w:val="0"/>
          <w:marRight w:val="0"/>
          <w:marTop w:val="0"/>
          <w:marBottom w:val="0"/>
          <w:divBdr>
            <w:top w:val="none" w:sz="0" w:space="0" w:color="auto"/>
            <w:left w:val="none" w:sz="0" w:space="0" w:color="auto"/>
            <w:bottom w:val="none" w:sz="0" w:space="0" w:color="auto"/>
            <w:right w:val="none" w:sz="0" w:space="0" w:color="auto"/>
          </w:divBdr>
        </w:div>
        <w:div w:id="7865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COFCO\zhaodongya</cp:lastModifiedBy>
  <cp:revision>6</cp:revision>
  <cp:lastPrinted>2019-09-03T09:29:00Z</cp:lastPrinted>
  <dcterms:created xsi:type="dcterms:W3CDTF">2019-09-03T06:18:00Z</dcterms:created>
  <dcterms:modified xsi:type="dcterms:W3CDTF">2019-09-03T09:52:00Z</dcterms:modified>
</cp:coreProperties>
</file>