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ind w:firstLine="720" w:firstLineChars="300"/>
        <w:rPr>
          <w:rFonts w:ascii="宋体" w:hAnsi="宋体"/>
          <w:bCs/>
          <w:iCs/>
          <w:color w:val="000000"/>
          <w:sz w:val="24"/>
        </w:rPr>
      </w:pPr>
      <w:r>
        <w:rPr>
          <w:rFonts w:hint="eastAsia" w:ascii="宋体" w:hAnsi="宋体"/>
          <w:bCs/>
          <w:iCs/>
          <w:color w:val="000000"/>
          <w:sz w:val="24"/>
        </w:rPr>
        <w:t>证券代码： 002110                     证券简称：三钢闽光</w:t>
      </w:r>
    </w:p>
    <w:p>
      <w:pPr>
        <w:spacing w:beforeLines="50" w:afterLines="50" w:line="400" w:lineRule="exact"/>
        <w:jc w:val="center"/>
        <w:rPr>
          <w:rFonts w:ascii="宋体" w:hAnsi="宋体"/>
          <w:b/>
          <w:bCs/>
          <w:iCs/>
          <w:color w:val="000000"/>
          <w:spacing w:val="-20"/>
          <w:kern w:val="10"/>
          <w:sz w:val="32"/>
          <w:szCs w:val="32"/>
        </w:rPr>
      </w:pPr>
    </w:p>
    <w:p>
      <w:pPr>
        <w:spacing w:beforeLines="50" w:afterLines="50" w:line="400" w:lineRule="exact"/>
        <w:jc w:val="center"/>
        <w:rPr>
          <w:rFonts w:ascii="宋体" w:hAnsi="宋体"/>
          <w:b/>
          <w:bCs/>
          <w:iCs/>
          <w:color w:val="000000"/>
          <w:spacing w:val="-20"/>
          <w:kern w:val="10"/>
          <w:sz w:val="32"/>
          <w:szCs w:val="32"/>
        </w:rPr>
      </w:pPr>
      <w:r>
        <w:rPr>
          <w:rFonts w:hint="eastAsia" w:ascii="宋体" w:hAnsi="宋体"/>
          <w:b/>
          <w:bCs/>
          <w:iCs/>
          <w:color w:val="000000"/>
          <w:spacing w:val="-20"/>
          <w:kern w:val="10"/>
          <w:sz w:val="32"/>
          <w:szCs w:val="32"/>
        </w:rPr>
        <w:t>福建三钢闽光股份有限公司投资者关系活动记录表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w:t>
      </w:r>
      <w:bookmarkStart w:id="0" w:name="_GoBack"/>
      <w:bookmarkEnd w:id="0"/>
      <w:r>
        <w:rPr>
          <w:rFonts w:hint="eastAsia" w:ascii="宋体" w:hAnsi="宋体"/>
          <w:bCs/>
          <w:iCs/>
          <w:color w:val="000000"/>
          <w:sz w:val="24"/>
        </w:rPr>
        <w:t xml:space="preserve">                       编号：2019-08</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投资者关系活动类别</w:t>
            </w:r>
          </w:p>
        </w:tc>
        <w:tc>
          <w:tcPr>
            <w:tcW w:w="6946" w:type="dxa"/>
          </w:tcPr>
          <w:p>
            <w:pPr>
              <w:spacing w:line="480" w:lineRule="atLeast"/>
              <w:rPr>
                <w:rFonts w:ascii="宋体" w:hAnsi="宋体"/>
                <w:bCs/>
                <w:iCs/>
                <w:color w:val="000000"/>
                <w:sz w:val="24"/>
              </w:rPr>
            </w:pPr>
            <w:r>
              <w:rPr>
                <w:rFonts w:hint="eastAsia" w:ascii="宋体" w:hAnsi="宋体"/>
                <w:bCs/>
                <w:iCs/>
                <w:color w:val="000000"/>
                <w:sz w:val="28"/>
                <w:szCs w:val="28"/>
              </w:rPr>
              <w:sym w:font="Wingdings 2" w:char="F052"/>
            </w:r>
            <w:r>
              <w:rPr>
                <w:rFonts w:hint="eastAsia" w:ascii="宋体" w:hAnsi="宋体"/>
                <w:sz w:val="24"/>
              </w:rPr>
              <w:t xml:space="preserve">特定对象调研        </w:t>
            </w:r>
            <w:r>
              <w:rPr>
                <w:rFonts w:hint="eastAsia" w:ascii="宋体" w:hAnsi="宋体"/>
                <w:bCs/>
                <w:iCs/>
                <w:color w:val="000000"/>
                <w:sz w:val="24"/>
              </w:rPr>
              <w:t>□</w:t>
            </w:r>
            <w:r>
              <w:rPr>
                <w:rFonts w:hint="eastAsia" w:ascii="宋体" w:hAnsi="宋体"/>
                <w:sz w:val="24"/>
              </w:rPr>
              <w:t>分析师会议</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媒体采访            </w:t>
            </w:r>
            <w:r>
              <w:rPr>
                <w:rFonts w:hint="eastAsia" w:ascii="宋体" w:hAnsi="宋体"/>
                <w:bCs/>
                <w:iCs/>
                <w:color w:val="000000"/>
                <w:sz w:val="24"/>
              </w:rPr>
              <w:t>□</w:t>
            </w:r>
            <w:r>
              <w:rPr>
                <w:rFonts w:hint="eastAsia" w:ascii="宋体" w:hAnsi="宋体"/>
                <w:sz w:val="24"/>
              </w:rPr>
              <w:t>业绩说明会</w:t>
            </w:r>
          </w:p>
          <w:p>
            <w:pPr>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 xml:space="preserve">新闻发布会          </w:t>
            </w:r>
            <w:r>
              <w:rPr>
                <w:rFonts w:hint="eastAsia" w:ascii="宋体" w:hAnsi="宋体"/>
                <w:bCs/>
                <w:iCs/>
                <w:color w:val="000000"/>
                <w:sz w:val="24"/>
              </w:rPr>
              <w:t>□</w:t>
            </w:r>
            <w:r>
              <w:rPr>
                <w:rFonts w:hint="eastAsia" w:ascii="宋体" w:hAnsi="宋体"/>
                <w:sz w:val="24"/>
              </w:rPr>
              <w:t>路演活动</w:t>
            </w:r>
          </w:p>
          <w:p>
            <w:pPr>
              <w:tabs>
                <w:tab w:val="left" w:pos="3045"/>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现场参观</w:t>
            </w:r>
            <w:r>
              <w:rPr>
                <w:rFonts w:ascii="宋体" w:hAnsi="宋体"/>
                <w:bCs/>
                <w:iCs/>
                <w:color w:val="000000"/>
                <w:sz w:val="24"/>
              </w:rPr>
              <w:tab/>
            </w:r>
          </w:p>
          <w:p>
            <w:pPr>
              <w:tabs>
                <w:tab w:val="center" w:pos="3199"/>
              </w:tabs>
              <w:spacing w:line="48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4"/>
              </w:rPr>
              <w:t>其他 （</w:t>
            </w:r>
            <w:r>
              <w:rPr>
                <w:rFonts w:hint="eastAsia" w:ascii="宋体" w:hAnsi="宋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trPr>
        <w:tc>
          <w:tcPr>
            <w:tcW w:w="1809" w:type="dxa"/>
            <w:vAlign w:val="center"/>
          </w:tcPr>
          <w:p>
            <w:pPr>
              <w:spacing w:line="480" w:lineRule="atLeast"/>
              <w:rPr>
                <w:rFonts w:ascii="宋体" w:hAnsi="宋体"/>
                <w:b/>
                <w:bCs/>
                <w:iCs/>
                <w:color w:val="000000"/>
                <w:sz w:val="24"/>
              </w:rPr>
            </w:pPr>
            <w:r>
              <w:rPr>
                <w:rFonts w:hint="eastAsia" w:ascii="宋体" w:hAnsi="宋体"/>
                <w:b/>
                <w:bCs/>
                <w:iCs/>
                <w:color w:val="000000"/>
                <w:sz w:val="24"/>
              </w:rPr>
              <w:t>参与单位名称及人员姓名</w:t>
            </w:r>
          </w:p>
        </w:tc>
        <w:tc>
          <w:tcPr>
            <w:tcW w:w="6946" w:type="dxa"/>
            <w:vAlign w:val="center"/>
          </w:tcPr>
          <w:p>
            <w:pPr>
              <w:spacing w:line="360" w:lineRule="auto"/>
              <w:rPr>
                <w:bCs/>
                <w:sz w:val="24"/>
              </w:rPr>
            </w:pPr>
            <w:r>
              <w:rPr>
                <w:rFonts w:hint="eastAsia"/>
                <w:bCs/>
                <w:sz w:val="24"/>
              </w:rPr>
              <w:t>中信证券股份有限公司钢铁行业研究员 胥洞菡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809" w:type="dxa"/>
          </w:tcPr>
          <w:p>
            <w:pPr>
              <w:spacing w:line="480" w:lineRule="atLeast"/>
              <w:rPr>
                <w:rFonts w:ascii="宋体" w:hAnsi="宋体"/>
                <w:b/>
                <w:bCs/>
                <w:iCs/>
                <w:color w:val="000000"/>
                <w:sz w:val="24"/>
              </w:rPr>
            </w:pPr>
            <w:r>
              <w:rPr>
                <w:rFonts w:hint="eastAsia" w:ascii="宋体" w:hAnsi="宋体"/>
                <w:b/>
                <w:bCs/>
                <w:iCs/>
                <w:color w:val="000000"/>
                <w:sz w:val="24"/>
              </w:rPr>
              <w:t>会谈时间</w:t>
            </w:r>
          </w:p>
        </w:tc>
        <w:tc>
          <w:tcPr>
            <w:tcW w:w="6946" w:type="dxa"/>
          </w:tcPr>
          <w:p>
            <w:pPr>
              <w:spacing w:line="360" w:lineRule="auto"/>
              <w:rPr>
                <w:rFonts w:ascii="宋体" w:hAnsi="宋体"/>
                <w:bCs/>
                <w:iCs/>
                <w:color w:val="000000"/>
                <w:sz w:val="24"/>
              </w:rPr>
            </w:pPr>
            <w:r>
              <w:rPr>
                <w:rFonts w:hint="eastAsia" w:ascii="宋体" w:hAnsi="宋体"/>
                <w:bCs/>
                <w:iCs/>
                <w:color w:val="000000"/>
                <w:sz w:val="24"/>
              </w:rPr>
              <w:t>2019年9月5日下午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09" w:type="dxa"/>
          </w:tcPr>
          <w:p>
            <w:pPr>
              <w:spacing w:line="480" w:lineRule="atLeast"/>
              <w:rPr>
                <w:rFonts w:ascii="宋体" w:hAnsi="宋体"/>
                <w:b/>
                <w:bCs/>
                <w:iCs/>
                <w:color w:val="000000"/>
                <w:sz w:val="24"/>
              </w:rPr>
            </w:pPr>
            <w:r>
              <w:rPr>
                <w:rFonts w:hint="eastAsia" w:ascii="宋体" w:hAnsi="宋体"/>
                <w:b/>
                <w:bCs/>
                <w:iCs/>
                <w:color w:val="000000"/>
                <w:sz w:val="24"/>
              </w:rPr>
              <w:t>地点</w:t>
            </w:r>
          </w:p>
        </w:tc>
        <w:tc>
          <w:tcPr>
            <w:tcW w:w="6946" w:type="dxa"/>
          </w:tcPr>
          <w:p>
            <w:pPr>
              <w:spacing w:line="360" w:lineRule="auto"/>
              <w:rPr>
                <w:rFonts w:ascii="宋体" w:hAnsi="宋体"/>
                <w:bCs/>
                <w:iCs/>
                <w:color w:val="000000"/>
                <w:sz w:val="24"/>
              </w:rPr>
            </w:pPr>
            <w:r>
              <w:rPr>
                <w:rFonts w:hint="eastAsia" w:ascii="宋体" w:hAnsi="宋体"/>
                <w:bCs/>
                <w:iCs/>
                <w:color w:val="000000"/>
                <w:sz w:val="24"/>
              </w:rPr>
              <w:t>公司五楼会议室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809" w:type="dxa"/>
          </w:tcPr>
          <w:p>
            <w:pPr>
              <w:spacing w:line="480" w:lineRule="atLeast"/>
              <w:rPr>
                <w:rFonts w:ascii="宋体" w:hAnsi="宋体"/>
                <w:b/>
                <w:bCs/>
                <w:iCs/>
                <w:color w:val="000000"/>
                <w:sz w:val="24"/>
              </w:rPr>
            </w:pPr>
            <w:r>
              <w:rPr>
                <w:rFonts w:hint="eastAsia" w:ascii="宋体" w:hAnsi="宋体"/>
                <w:b/>
                <w:bCs/>
                <w:iCs/>
                <w:color w:val="000000"/>
                <w:sz w:val="24"/>
              </w:rPr>
              <w:t>上市公司接待人员姓名</w:t>
            </w:r>
          </w:p>
        </w:tc>
        <w:tc>
          <w:tcPr>
            <w:tcW w:w="6946" w:type="dxa"/>
            <w:vAlign w:val="center"/>
          </w:tcPr>
          <w:p>
            <w:pPr>
              <w:spacing w:line="360" w:lineRule="auto"/>
              <w:rPr>
                <w:rFonts w:ascii="宋体" w:hAnsi="宋体"/>
                <w:bCs/>
                <w:iCs/>
                <w:color w:val="000000"/>
                <w:sz w:val="24"/>
              </w:rPr>
            </w:pPr>
            <w:r>
              <w:rPr>
                <w:rFonts w:hint="eastAsia" w:ascii="宋体" w:hAnsi="宋体"/>
                <w:bCs/>
                <w:iCs/>
                <w:color w:val="000000"/>
                <w:sz w:val="24"/>
              </w:rPr>
              <w:t>公司副总兼董秘：胡红林</w:t>
            </w:r>
          </w:p>
          <w:p>
            <w:pPr>
              <w:spacing w:line="360" w:lineRule="auto"/>
              <w:rPr>
                <w:rFonts w:ascii="宋体" w:hAnsi="宋体"/>
                <w:bCs/>
                <w:iCs/>
                <w:color w:val="000000"/>
                <w:sz w:val="24"/>
              </w:rPr>
            </w:pPr>
            <w:r>
              <w:rPr>
                <w:rFonts w:hint="eastAsia" w:ascii="宋体" w:hAnsi="宋体"/>
                <w:bCs/>
                <w:iCs/>
                <w:color w:val="000000"/>
                <w:sz w:val="24"/>
              </w:rPr>
              <w:t>公司证券事务代表：罗丽红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809" w:type="dxa"/>
            <w:vAlign w:val="center"/>
          </w:tcPr>
          <w:p>
            <w:pPr>
              <w:spacing w:line="480" w:lineRule="atLeast"/>
              <w:rPr>
                <w:rFonts w:ascii="宋体" w:hAnsi="宋体"/>
                <w:b/>
                <w:bCs/>
                <w:iCs/>
                <w:color w:val="000000"/>
                <w:sz w:val="24"/>
              </w:rPr>
            </w:pPr>
            <w:r>
              <w:rPr>
                <w:rFonts w:hint="eastAsia" w:ascii="宋体" w:hAnsi="宋体"/>
                <w:b/>
                <w:bCs/>
                <w:iCs/>
                <w:color w:val="000000"/>
                <w:sz w:val="24"/>
              </w:rPr>
              <w:t>投资者关系活动主要内容介绍</w:t>
            </w:r>
          </w:p>
          <w:p>
            <w:pPr>
              <w:spacing w:line="480" w:lineRule="atLeast"/>
              <w:rPr>
                <w:rFonts w:ascii="宋体" w:hAnsi="宋体"/>
                <w:b/>
                <w:bCs/>
                <w:iCs/>
                <w:color w:val="000000"/>
                <w:sz w:val="24"/>
              </w:rPr>
            </w:pPr>
          </w:p>
        </w:tc>
        <w:tc>
          <w:tcPr>
            <w:tcW w:w="6946" w:type="dxa"/>
          </w:tcPr>
          <w:p>
            <w:pPr>
              <w:numPr>
                <w:ilvl w:val="0"/>
                <w:numId w:val="1"/>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随着供给侧改革的结束以及这轮地产周期的见顶，从行业的角度来讲，16年以来长材的红利可能基本释放完毕，未来可能是压力逐渐显现的过程。三钢的建材占比高，非常具有成本优势。但在行业的发展趋势下，未来三钢在产品结构和品种上有怎样的规划？</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对于钢铁行业供给侧结构性改革，国家“十三五”期间钢铁去产能的总体目标是1亿吨至1.5亿吨，2016年以来，去产能的上限目标已提前实现，规范钢企的产能利用率有了较大幅度的提升，也取得了史无前例的良好效益，劣币驱逐良币的市场状况得以根本扭转，未来行业将进入产能布局重新调整、行业重组兼并加速、智能制造广泛应用、产品结构转型升级的新阶段。</w:t>
            </w:r>
          </w:p>
          <w:p>
            <w:pPr>
              <w:spacing w:line="360" w:lineRule="auto"/>
              <w:ind w:firstLine="480"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color w:val="000000" w:themeColor="text1"/>
                <w:sz w:val="24"/>
              </w:rPr>
              <w:t>对于三钢闽光而言，公司始终关注供给侧结构性改革、钢铁工业十三五规划、环境保护等宏观政策等对公司生产经营及发展的影响。公司要求，无论何时，全司上下，要始终将精细化管理和成本控制的看家本领练好，苦练内功，做好自己，在持续保持行业相对竞争优势的基础上，择机做好区域产业整合的工作，进一步提高区域产业集中度，实现产业的转型升级。</w:t>
            </w:r>
          </w:p>
          <w:p>
            <w:pPr>
              <w:spacing w:line="360" w:lineRule="auto"/>
              <w:ind w:firstLine="480"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color w:val="000000" w:themeColor="text1"/>
                <w:sz w:val="24"/>
              </w:rPr>
              <w:t>三钢闽光的产品主要有六大类：建筑用材、制品用材、中厚板材、优质圆钢、合金带钢、煤化工产品。建筑用材为主的产品结构短期内不会发生较大的变化。2019年2月，公司全资子公司漳州闽光的合金带钢生产线正式投产；本部棒材厂一棒线已计划结合年度检修，实施无头轧制技术和热机轧制工艺改造；圆棒线将新增KOCKS轧机和大盘卷；公司规划新建或购买H型钢生产线。上述这些产线的建成投产，将使公司产品门类得以扩充，更好地服务区域市场，生产作业率和生产成本等关键指标也将有较大的改善。</w:t>
            </w:r>
          </w:p>
          <w:p>
            <w:pPr>
              <w:spacing w:line="360" w:lineRule="auto"/>
              <w:ind w:firstLine="482" w:firstLineChars="200"/>
              <w:rPr>
                <w:rFonts w:ascii="仿宋_GB2312" w:eastAsia="仿宋_GB2312" w:cs="仿宋_GB2312" w:hAnsiTheme="minorEastAsia"/>
                <w:b/>
                <w:bCs/>
                <w:color w:val="000000" w:themeColor="text1"/>
                <w:sz w:val="24"/>
              </w:rPr>
            </w:pPr>
          </w:p>
          <w:p>
            <w:pPr>
              <w:numPr>
                <w:ilvl w:val="0"/>
                <w:numId w:val="1"/>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公司最亮眼的优势在于全行业顶尖的成本控制能力，从行业角度来看，三钢已经做得很好了，未来在降本方向还有多少空间？</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公司未来将完善对标平台，加强与行业先进企业学习交流，促进提质增效，确保各项经济技术指标保持行业前列，生产成本进一步降低。持续推进全流程降成本，确保2019年各生产工序同口径加工费不高于2018年1-7月平均水平，同时积极降低非生产工序各环节费用。</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1"/>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海外矿采购比例？主要来自哪些港口？铁矿的运输方式及成本？</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海外矿采购比例约80%，主要来自福州可门港、厦门港、泉州沙格港，铁矿运输有铁路和公路运输，综合成本约88元/吨。</w:t>
            </w:r>
          </w:p>
          <w:p>
            <w:pPr>
              <w:spacing w:line="360" w:lineRule="auto"/>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目前铁矿的库存水平？今年6-7月份铁矿大幅涨价的过程中，库存水平的变动？</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目前铁矿的库存约25天。今年6-7月份铁矿大幅涨价的过程中，库存总体保持相对稳定，6月库存有所增加，7月回落到正常库存水平。</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 xml:space="preserve">6月份铁矿的大幅涨价是否将较大程度体现在三季度财务数据？ </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公司铁矿石库存周期为24-30天，对财务数据的影响通常滞后约一个月。</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泉州闽光与罗源闽光距海岸较近，是否具有较强的铁矿运输优势？</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泉州闽光与罗源闽光距海岸较近，优势明显。与本部运输成本相比，泉州闽光低约15元/吨，罗源闽光低约40元/吨。</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焦煤、外购焦炭的采购来源？</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公司年焦炭使用量约350万吨，其中公司自产焦炭约为85万吨， 占比约25%，其余部分需要外购。</w:t>
            </w:r>
          </w:p>
          <w:p>
            <w:pPr>
              <w:spacing w:line="360" w:lineRule="auto"/>
              <w:ind w:firstLine="480"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color w:val="000000" w:themeColor="text1"/>
                <w:sz w:val="24"/>
              </w:rPr>
              <w:t>公司焦煤采购主要来自平煤集团、淮南和淮北矿业集团等。焦炭主要向景焦、三钢集团、平煤集团、淮南矿业等企业采购。</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当期废钢添加比例水平？今年比例上是否有做调整？</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炼钢吨钢铁水耗本部约840kg，泉州闽光约860 kg。高炉少量添加废钢，吨铁水添加量约30kg。公司在废钢的添加工艺方面较稳定。</w:t>
            </w:r>
          </w:p>
          <w:p>
            <w:pPr>
              <w:spacing w:line="360" w:lineRule="auto"/>
              <w:ind w:firstLine="480" w:firstLineChars="200"/>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半年报看公司的吨钢售价同比提升幅度超过行业整体水平，是否跟公司产品的区域溢价性有关？</w:t>
            </w:r>
          </w:p>
          <w:p>
            <w:pPr>
              <w:spacing w:line="360" w:lineRule="auto"/>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公司在福建市场具有较强的市场掌控力。</w:t>
            </w:r>
          </w:p>
          <w:p>
            <w:pPr>
              <w:adjustRightInd w:val="0"/>
              <w:snapToGrid w:val="0"/>
              <w:spacing w:line="360" w:lineRule="auto"/>
              <w:jc w:val="left"/>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报表中“外购钢材”这块业务是怎样的经营模式？</w:t>
            </w:r>
          </w:p>
          <w:p>
            <w:pPr>
              <w:adjustRightInd w:val="0"/>
              <w:snapToGrid w:val="0"/>
              <w:spacing w:line="360" w:lineRule="auto"/>
              <w:ind w:firstLine="482" w:firstLineChars="200"/>
              <w:jc w:val="left"/>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ascii="仿宋_GB2312" w:eastAsia="仿宋_GB2312" w:cs="仿宋_GB2312" w:hAnsiTheme="minorEastAsia"/>
                <w:color w:val="000000" w:themeColor="text1"/>
                <w:sz w:val="24"/>
              </w:rPr>
              <w:t>外购钢材都是一些三钢目前未生产的钢材产品，如型材、管材、热轧等，外购的目的主要是补充三钢现有产品未涉及部分品种规格，为用户提供“一站式”供货能力，提升三钢服务水平。</w:t>
            </w:r>
          </w:p>
          <w:p>
            <w:pPr>
              <w:adjustRightInd w:val="0"/>
              <w:snapToGrid w:val="0"/>
              <w:spacing w:line="360" w:lineRule="auto"/>
              <w:ind w:firstLine="480" w:firstLineChars="200"/>
              <w:jc w:val="left"/>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本部、泉州闽光、罗源闽光在盈利水平和成本控制方面的差异？</w:t>
            </w:r>
          </w:p>
          <w:p>
            <w:pPr>
              <w:ind w:firstLine="482" w:firstLineChars="200"/>
              <w:rPr>
                <w:rFonts w:ascii="仿宋_GB2312" w:eastAsia="仿宋_GB2312" w:cs="仿宋_GB2312" w:hAnsiTheme="minorEastAsia"/>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eastAsia="仿宋_GB2312" w:cs="仿宋_GB2312" w:hAnsiTheme="minorEastAsia"/>
                <w:color w:val="000000" w:themeColor="text1"/>
                <w:sz w:val="24"/>
              </w:rPr>
              <w:t>公司本部、泉州闽光、罗源闽光在盈利水平和成本控制方面总体相当，又有各自的相对优势，如罗源闽光具有明显的物流成本优势，本部具有地产铁矿和石灰石的资源优势，泉州闽光地处闽南，具有贴近市场优势。</w:t>
            </w:r>
          </w:p>
          <w:p>
            <w:pPr>
              <w:adjustRightInd w:val="0"/>
              <w:snapToGrid w:val="0"/>
              <w:spacing w:line="360" w:lineRule="auto"/>
              <w:jc w:val="left"/>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近两年罗源闽光的经营状况？</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罗源闽光具备较强的盈利能力，2017年净利润为9.18亿元，2018年净利润为10.88亿元，2018年全年产钢202.7万吨，铁172.75万吨，钢材204.32万吨。</w:t>
            </w:r>
          </w:p>
          <w:p>
            <w:pPr>
              <w:adjustRightInd w:val="0"/>
              <w:snapToGrid w:val="0"/>
              <w:spacing w:line="360" w:lineRule="auto"/>
              <w:jc w:val="left"/>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下半年产量是否基本与上半年持平？公司几年公司设备是否存在的大修计划？</w:t>
            </w:r>
          </w:p>
          <w:p>
            <w:pPr>
              <w:spacing w:line="360" w:lineRule="auto"/>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公司2019年计划产钢1001万吨，上半年产钢511万吨，下半年生产计划任务基本与上半年持平。公司的检修计划安排主要根据冶炼系统运行状况进行编制，冶炼系统检修期间，其他生产单位将根据情况安排搭车检修。</w:t>
            </w:r>
          </w:p>
          <w:p>
            <w:pPr>
              <w:spacing w:line="360" w:lineRule="auto"/>
              <w:ind w:firstLine="480" w:firstLineChars="200"/>
              <w:rPr>
                <w:rFonts w:ascii="仿宋_GB2312" w:hAnsi="仿宋_GB2312" w:eastAsia="仿宋_GB2312" w:cs="仿宋_GB2312"/>
                <w:sz w:val="24"/>
                <w:szCs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漳州闽光是否只做轧材，钢坯来源？</w:t>
            </w:r>
          </w:p>
          <w:p>
            <w:pPr>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漳州闽光目前没有炼铁、炼钢能力，钢坯大部分来自于公司本部，部分坯料从罗源闽光和唐山地区采购。</w:t>
            </w:r>
          </w:p>
          <w:p>
            <w:pPr>
              <w:spacing w:line="360" w:lineRule="auto"/>
              <w:rPr>
                <w:rFonts w:ascii="仿宋_GB2312" w:eastAsia="仿宋_GB2312" w:cs="仿宋_GB2312" w:hAnsiTheme="minorEastAsia"/>
                <w:b/>
                <w:bCs/>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目前公司“物联云商”项目的建设进度？</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目前物联云商平台建设已基本完成。其中公司本部的电子交易平台于2018年12月1日上线，泉州闽光于2019年4月1日上线，罗源闽光于2019年6月1日上线。三钢集团钢材产品已在平台完全上线，项目为客户提供期货销售，现货挂牌，在线招标，代购采购等模式，电商平台链接云仓储、供应链金融、智慧物流、大数据平台，为管理端、客户端提供高效便捷服务，解决客户全生命周期需求。</w:t>
            </w:r>
          </w:p>
          <w:p>
            <w:pPr>
              <w:spacing w:line="360" w:lineRule="auto"/>
              <w:ind w:left="420" w:leftChars="200"/>
              <w:rPr>
                <w:rFonts w:ascii="仿宋_GB2312" w:eastAsia="仿宋_GB2312" w:cs="仿宋_GB2312" w:hAnsiTheme="minorEastAsia"/>
                <w:b/>
                <w:bCs/>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下半年新开工回落，政策限制地产融资，地产需求继续上行压力较大。福建省在下半年的需求情况？</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福建省内莆炎高速、福厦高铁、浦梅铁路、兴泉铁路等一批大型基建项目正在建设，供需相对稳定。</w:t>
            </w:r>
          </w:p>
          <w:p>
            <w:pPr>
              <w:spacing w:line="360" w:lineRule="auto"/>
              <w:rPr>
                <w:rFonts w:ascii="仿宋_GB2312" w:eastAsia="仿宋_GB2312" w:cs="仿宋_GB2312" w:hAnsiTheme="minorEastAsia"/>
                <w:b/>
                <w:bCs/>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后续环保方面投入？？</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公司高度重视安全和环保工作，将安全和环保作为企业生存发展的基础。</w:t>
            </w:r>
            <w:r>
              <w:rPr>
                <w:rFonts w:hint="eastAsia" w:ascii="仿宋_GB2312" w:eastAsia="仿宋_GB2312" w:cs="仿宋_GB2312" w:hAnsiTheme="minorEastAsia"/>
                <w:color w:val="000000" w:themeColor="text1"/>
                <w:sz w:val="24"/>
              </w:rPr>
              <w:t>公司在2018年10月份制定了超低排放的三年改造实施方案，预计改造123个项目，计划投资5亿元（不包含结合大型升级改造项目配套环保设施建设的资金）。2019年，公司共安排超低排放改造项目63项，计划投资约2亿元。</w:t>
            </w:r>
          </w:p>
          <w:p>
            <w:pPr>
              <w:spacing w:line="360" w:lineRule="auto"/>
              <w:rPr>
                <w:rFonts w:ascii="仿宋_GB2312" w:eastAsia="仿宋_GB2312" w:cs="仿宋_GB2312" w:hAnsiTheme="minorEastAsia"/>
                <w:b/>
                <w:bCs/>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罗源闽光整合进展？产能及产线情况？</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目前控股股东三钢集团仍在解决罗源闽光收购三金钢铁前期所遗留问题。</w:t>
            </w:r>
          </w:p>
          <w:p>
            <w:pPr>
              <w:adjustRightInd w:val="0"/>
              <w:snapToGrid w:val="0"/>
              <w:spacing w:line="360" w:lineRule="auto"/>
              <w:ind w:firstLine="480" w:firstLineChars="200"/>
              <w:jc w:val="left"/>
              <w:rPr>
                <w:rFonts w:ascii="仿宋_GB2312" w:eastAsia="仿宋_GB2312" w:cs="仿宋_GB2312" w:hAnsiTheme="minorEastAsia"/>
                <w:color w:val="000000" w:themeColor="text1"/>
                <w:sz w:val="24"/>
              </w:rPr>
            </w:pPr>
            <w:r>
              <w:rPr>
                <w:rFonts w:hint="eastAsia" w:ascii="仿宋_GB2312" w:hAnsi="仿宋_GB2312" w:eastAsia="仿宋_GB2312" w:cs="仿宋_GB2312"/>
                <w:sz w:val="24"/>
                <w:szCs w:val="24"/>
              </w:rPr>
              <w:t>罗源闽光的炼铁产能160万吨，炼钢产能200万吨，目前有2座高炉（500m³和660m³），50t顶吹转炉2座，高速棒材和高速线材生产线各1条。</w:t>
            </w:r>
          </w:p>
          <w:p>
            <w:pPr>
              <w:adjustRightInd w:val="0"/>
              <w:snapToGrid w:val="0"/>
              <w:spacing w:line="360" w:lineRule="auto"/>
              <w:jc w:val="left"/>
              <w:rPr>
                <w:rFonts w:ascii="仿宋_GB2312" w:eastAsia="仿宋_GB2312" w:cs="仿宋_GB2312" w:hAnsiTheme="minorEastAsia"/>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焦炉炉型及焦炉改造的投入及进展？</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公司焦化厂共有两座4.3m、65孔焦炉，可年产90万吨焦炭，其中1#焦炉已于2019年8月31日全部推空，实现安全、环保停炉。</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公司将新建两座6.25m捣固型焦炉，项目概算17.5亿元，计划在2023年底前全部建成投用，项目采用一次招标、分期建设的方式，目前原1#焦炉正在拆除过程中，项目建设已经开始。</w:t>
            </w:r>
          </w:p>
          <w:p>
            <w:pPr>
              <w:ind w:firstLine="480" w:firstLineChars="200"/>
              <w:rPr>
                <w:rFonts w:ascii="仿宋_GB2312" w:hAnsi="仿宋_GB2312" w:eastAsia="仿宋_GB2312" w:cs="仿宋_GB2312"/>
                <w:sz w:val="24"/>
                <w:szCs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福建省对环保方面的要求与其他核心产钢省份对比？</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继生态环境部等五部委出台了《关于推进实施钢铁行业超低排放的意见》之后，福建省也制定出台了《福建省钢铁行业超低排放改造实施方案》。</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文件指出，福建省不属于重点区域，结合福建实际，坚持突出重点、分类推进的原则，明确了按区域、按生产工序分步推进现有钢铁企业超低排放改造工作的分阶段目标，以及2025年底前基本完成的总目标，以确保完成国家下达的任务。</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文件要求，新建（含搬迁）钢铁项目原则上要达到超低排放水平。现有钢铁企业分步推进超低排放改造，在2025年底前基本完成所有生产环节的升级改造工作。</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文件明确，一是全省钢铁企业分区域、分生产工序的目标要求：2021年底前，烧结、球团工序有组织排放源基本完成超低排放改造;2023年底前，炼焦、炼铁、炼钢工序有组织排放源、物料储存基本完成超低改造;2025年底前，其他工序有组织排放源、各工序物料输送与生产工艺过程无组织排放、大宗物料产品运输等基本完成超低排放改造。二是企业对现有烧结、球团或炼焦、炼铁、炼钢设备进行转型升级，以及对物料储存设施进行改造的，转型升级（改造）项目应同步落实超低排放要求，但建成时限分别不超过2023年底、2024年底。三是福州、三明、漳州提前1年完成分阶段目标。</w:t>
            </w:r>
          </w:p>
          <w:p>
            <w:pPr>
              <w:ind w:firstLine="480" w:firstLineChars="200"/>
              <w:rPr>
                <w:rFonts w:ascii="仿宋_GB2312" w:hAnsi="仿宋_GB2312" w:eastAsia="仿宋_GB2312" w:cs="仿宋_GB2312"/>
                <w:sz w:val="24"/>
                <w:szCs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公司2019年将继续优化产业布局，积极推进与福建亿鑫钢铁有限公司合作，公司目前与亿鑫钢铁合作进展？</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：目前公司与亿鑫钢铁的产能合作仍在洽谈过程中，公司将在具体合作事宜明确后，及时发布相关公告信息。</w:t>
            </w:r>
          </w:p>
          <w:p>
            <w:pPr>
              <w:spacing w:line="360" w:lineRule="auto"/>
              <w:rPr>
                <w:rFonts w:ascii="仿宋_GB2312" w:eastAsia="仿宋_GB2312" w:cs="仿宋_GB2312" w:hAnsiTheme="minorEastAsia"/>
                <w:b/>
                <w:bCs/>
                <w:color w:val="000000" w:themeColor="text1"/>
                <w:sz w:val="24"/>
              </w:rPr>
            </w:pPr>
          </w:p>
          <w:p>
            <w:pPr>
              <w:numPr>
                <w:ilvl w:val="0"/>
                <w:numId w:val="2"/>
              </w:numPr>
              <w:spacing w:line="360" w:lineRule="auto"/>
              <w:ind w:firstLine="482" w:firstLineChars="200"/>
              <w:rPr>
                <w:rFonts w:ascii="仿宋_GB2312" w:eastAsia="仿宋_GB2312" w:cs="仿宋_GB2312" w:hAnsiTheme="minorEastAsia"/>
                <w:b/>
                <w:bCs/>
                <w:color w:val="000000" w:themeColor="text1"/>
                <w:sz w:val="24"/>
              </w:rPr>
            </w:pPr>
            <w:r>
              <w:rPr>
                <w:rFonts w:hint="eastAsia" w:ascii="仿宋_GB2312" w:eastAsia="仿宋_GB2312" w:cs="仿宋_GB2312" w:hAnsiTheme="minorEastAsia"/>
                <w:b/>
                <w:bCs/>
                <w:color w:val="000000" w:themeColor="text1"/>
                <w:sz w:val="24"/>
              </w:rPr>
              <w:t>未来几年分红方面公司大致的想法？</w:t>
            </w:r>
          </w:p>
          <w:p>
            <w:pPr>
              <w:ind w:firstLine="482" w:firstLineChars="200"/>
              <w:rPr>
                <w:rFonts w:ascii="仿宋_GB2312" w:hAnsi="仿宋_GB2312" w:eastAsia="仿宋_GB2312" w:cs="仿宋_GB2312"/>
                <w:sz w:val="24"/>
                <w:szCs w:val="24"/>
              </w:rPr>
            </w:pPr>
            <w:r>
              <w:rPr>
                <w:rFonts w:hint="eastAsia" w:ascii="仿宋_GB2312" w:eastAsia="仿宋_GB2312" w:cs="仿宋_GB2312" w:hAnsiTheme="minorEastAsia"/>
                <w:b/>
                <w:bCs/>
                <w:color w:val="000000" w:themeColor="text1"/>
                <w:sz w:val="24"/>
              </w:rPr>
              <w:t>回复</w:t>
            </w:r>
            <w:r>
              <w:rPr>
                <w:rFonts w:hint="eastAsia" w:ascii="仿宋_GB2312" w:hAnsi="仿宋_GB2312" w:eastAsia="仿宋_GB2312" w:cs="仿宋_GB2312"/>
                <w:sz w:val="24"/>
                <w:szCs w:val="24"/>
              </w:rPr>
              <w:t>：综合考虑公司所处行业特点、发展阶段、自身经营模式、盈利水平以及未来资金支出安排等因素，根据《福建三钢闽光股份有限公司未来三年（2018-2020年度）股东分红回报规划》，公司制订了2018年的利润分配预案。</w:t>
            </w:r>
          </w:p>
          <w:p>
            <w:pPr>
              <w:ind w:firstLine="480" w:firstLineChars="200"/>
              <w:rPr>
                <w:rFonts w:ascii="仿宋_GB2312" w:eastAsia="仿宋_GB2312" w:cs="仿宋_GB2312" w:hAnsiTheme="minorEastAsia"/>
                <w:color w:val="000000" w:themeColor="text1"/>
                <w:sz w:val="24"/>
              </w:rPr>
            </w:pPr>
            <w:r>
              <w:rPr>
                <w:rFonts w:hint="eastAsia" w:ascii="仿宋_GB2312" w:hAnsi="仿宋_GB2312" w:eastAsia="仿宋_GB2312" w:cs="仿宋_GB2312"/>
                <w:sz w:val="24"/>
                <w:szCs w:val="24"/>
              </w:rPr>
              <w:t>公司未来仍将努力做好生产组织管理，努力把握市场机遇，努力持续稳健经营，积极回报广大投资者。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809" w:type="dxa"/>
            <w:vAlign w:val="center"/>
          </w:tcPr>
          <w:p>
            <w:pPr>
              <w:spacing w:line="480" w:lineRule="atLeast"/>
              <w:rPr>
                <w:rFonts w:ascii="宋体" w:hAnsi="宋体"/>
                <w:b/>
                <w:bCs/>
                <w:iCs/>
                <w:color w:val="000000"/>
                <w:sz w:val="24"/>
              </w:rPr>
            </w:pPr>
            <w:r>
              <w:rPr>
                <w:rFonts w:hint="eastAsia" w:ascii="宋体" w:hAnsi="宋体"/>
                <w:b/>
                <w:bCs/>
                <w:iCs/>
                <w:color w:val="000000"/>
                <w:sz w:val="24"/>
              </w:rPr>
              <w:t>附件清单（如有）</w:t>
            </w:r>
          </w:p>
        </w:tc>
        <w:tc>
          <w:tcPr>
            <w:tcW w:w="6946" w:type="dxa"/>
          </w:tcPr>
          <w:p>
            <w:pPr>
              <w:spacing w:line="480" w:lineRule="atLeast"/>
              <w:rPr>
                <w:rFonts w:ascii="宋体" w:hAns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809" w:type="dxa"/>
            <w:vAlign w:val="center"/>
          </w:tcPr>
          <w:p>
            <w:pPr>
              <w:spacing w:line="480" w:lineRule="atLeast"/>
              <w:rPr>
                <w:rFonts w:ascii="宋体" w:hAnsi="宋体"/>
                <w:b/>
                <w:bCs/>
                <w:iCs/>
                <w:color w:val="000000"/>
                <w:sz w:val="24"/>
              </w:rPr>
            </w:pPr>
            <w:r>
              <w:rPr>
                <w:rFonts w:hint="eastAsia" w:ascii="宋体" w:hAnsi="宋体"/>
                <w:b/>
                <w:bCs/>
                <w:iCs/>
                <w:color w:val="000000"/>
                <w:sz w:val="24"/>
              </w:rPr>
              <w:t>日期</w:t>
            </w:r>
          </w:p>
        </w:tc>
        <w:tc>
          <w:tcPr>
            <w:tcW w:w="6946" w:type="dxa"/>
          </w:tcPr>
          <w:p>
            <w:pPr>
              <w:spacing w:line="480" w:lineRule="atLeast"/>
              <w:rPr>
                <w:rFonts w:ascii="宋体" w:hAnsi="宋体"/>
                <w:bCs/>
                <w:iCs/>
                <w:color w:val="000000"/>
                <w:sz w:val="24"/>
              </w:rPr>
            </w:pPr>
            <w:r>
              <w:rPr>
                <w:rFonts w:hint="eastAsia" w:ascii="宋体" w:hAnsi="宋体"/>
                <w:bCs/>
                <w:iCs/>
                <w:color w:val="000000"/>
                <w:sz w:val="24"/>
              </w:rPr>
              <w:t>2019年9月6日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0FAA"/>
    <w:multiLevelType w:val="singleLevel"/>
    <w:tmpl w:val="21A80FAA"/>
    <w:lvl w:ilvl="0" w:tentative="0">
      <w:start w:val="1"/>
      <w:numFmt w:val="decimal"/>
      <w:suff w:val="nothing"/>
      <w:lvlText w:val="%1、"/>
      <w:lvlJc w:val="left"/>
    </w:lvl>
  </w:abstractNum>
  <w:abstractNum w:abstractNumId="1">
    <w:nsid w:val="2AE8FA53"/>
    <w:multiLevelType w:val="singleLevel"/>
    <w:tmpl w:val="2AE8FA5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57D7"/>
    <w:rsid w:val="00010DC3"/>
    <w:rsid w:val="00026E45"/>
    <w:rsid w:val="000324F1"/>
    <w:rsid w:val="00034944"/>
    <w:rsid w:val="00035F08"/>
    <w:rsid w:val="00041134"/>
    <w:rsid w:val="000412B2"/>
    <w:rsid w:val="000414C3"/>
    <w:rsid w:val="00061332"/>
    <w:rsid w:val="000756C9"/>
    <w:rsid w:val="00085BBF"/>
    <w:rsid w:val="00087CFD"/>
    <w:rsid w:val="000A4C14"/>
    <w:rsid w:val="000C649D"/>
    <w:rsid w:val="000E1FE7"/>
    <w:rsid w:val="001228B3"/>
    <w:rsid w:val="001243DD"/>
    <w:rsid w:val="001246EE"/>
    <w:rsid w:val="00124771"/>
    <w:rsid w:val="00124AAC"/>
    <w:rsid w:val="00140503"/>
    <w:rsid w:val="00173496"/>
    <w:rsid w:val="001A0FCC"/>
    <w:rsid w:val="001A1CBA"/>
    <w:rsid w:val="001B3FFA"/>
    <w:rsid w:val="001D32CC"/>
    <w:rsid w:val="001F7A0F"/>
    <w:rsid w:val="00201759"/>
    <w:rsid w:val="00210B41"/>
    <w:rsid w:val="002135C2"/>
    <w:rsid w:val="0021799F"/>
    <w:rsid w:val="00272373"/>
    <w:rsid w:val="00281309"/>
    <w:rsid w:val="00286B5A"/>
    <w:rsid w:val="002A269A"/>
    <w:rsid w:val="002C5E1F"/>
    <w:rsid w:val="002D7D27"/>
    <w:rsid w:val="002E29DF"/>
    <w:rsid w:val="002F3B15"/>
    <w:rsid w:val="002F402D"/>
    <w:rsid w:val="00304FE7"/>
    <w:rsid w:val="00344F39"/>
    <w:rsid w:val="0035101E"/>
    <w:rsid w:val="00356376"/>
    <w:rsid w:val="00357541"/>
    <w:rsid w:val="00361CF9"/>
    <w:rsid w:val="0036669E"/>
    <w:rsid w:val="00376A66"/>
    <w:rsid w:val="00392749"/>
    <w:rsid w:val="00395875"/>
    <w:rsid w:val="003B09D9"/>
    <w:rsid w:val="003C1CAE"/>
    <w:rsid w:val="003D64B5"/>
    <w:rsid w:val="003E2A1C"/>
    <w:rsid w:val="003E2AD4"/>
    <w:rsid w:val="003F74BE"/>
    <w:rsid w:val="004033EC"/>
    <w:rsid w:val="004302A3"/>
    <w:rsid w:val="0044462C"/>
    <w:rsid w:val="0044619D"/>
    <w:rsid w:val="004555F7"/>
    <w:rsid w:val="00456B41"/>
    <w:rsid w:val="00460397"/>
    <w:rsid w:val="0046444A"/>
    <w:rsid w:val="00494BE6"/>
    <w:rsid w:val="004A3B77"/>
    <w:rsid w:val="004B5BA1"/>
    <w:rsid w:val="004C0558"/>
    <w:rsid w:val="004C392D"/>
    <w:rsid w:val="004C752B"/>
    <w:rsid w:val="004E2BB8"/>
    <w:rsid w:val="00505FFE"/>
    <w:rsid w:val="005067B0"/>
    <w:rsid w:val="0051619E"/>
    <w:rsid w:val="00527F08"/>
    <w:rsid w:val="00531BBA"/>
    <w:rsid w:val="00552943"/>
    <w:rsid w:val="00561F39"/>
    <w:rsid w:val="005C051D"/>
    <w:rsid w:val="00600024"/>
    <w:rsid w:val="006034B4"/>
    <w:rsid w:val="00607110"/>
    <w:rsid w:val="006275DA"/>
    <w:rsid w:val="006400B6"/>
    <w:rsid w:val="00652544"/>
    <w:rsid w:val="00692F38"/>
    <w:rsid w:val="006A0E55"/>
    <w:rsid w:val="006B7208"/>
    <w:rsid w:val="006C0368"/>
    <w:rsid w:val="006E5389"/>
    <w:rsid w:val="006F5424"/>
    <w:rsid w:val="006F6E95"/>
    <w:rsid w:val="00705438"/>
    <w:rsid w:val="007316AA"/>
    <w:rsid w:val="00744690"/>
    <w:rsid w:val="00755214"/>
    <w:rsid w:val="007642AB"/>
    <w:rsid w:val="007764ED"/>
    <w:rsid w:val="00796184"/>
    <w:rsid w:val="007969B8"/>
    <w:rsid w:val="00796B9D"/>
    <w:rsid w:val="007A498F"/>
    <w:rsid w:val="007C3117"/>
    <w:rsid w:val="007C366A"/>
    <w:rsid w:val="007C6413"/>
    <w:rsid w:val="007D14FD"/>
    <w:rsid w:val="007E41E0"/>
    <w:rsid w:val="007E716D"/>
    <w:rsid w:val="007F2C4C"/>
    <w:rsid w:val="007F79E2"/>
    <w:rsid w:val="00803D23"/>
    <w:rsid w:val="0086276E"/>
    <w:rsid w:val="008A2357"/>
    <w:rsid w:val="008B6793"/>
    <w:rsid w:val="008D56C1"/>
    <w:rsid w:val="008E2881"/>
    <w:rsid w:val="008F3EBA"/>
    <w:rsid w:val="008F7C3A"/>
    <w:rsid w:val="00917A07"/>
    <w:rsid w:val="00951F8F"/>
    <w:rsid w:val="0099565E"/>
    <w:rsid w:val="009C3506"/>
    <w:rsid w:val="009C7CD5"/>
    <w:rsid w:val="009D0D48"/>
    <w:rsid w:val="009E57D7"/>
    <w:rsid w:val="009E67DD"/>
    <w:rsid w:val="009F5962"/>
    <w:rsid w:val="00A06577"/>
    <w:rsid w:val="00A27F28"/>
    <w:rsid w:val="00A30725"/>
    <w:rsid w:val="00A51B6E"/>
    <w:rsid w:val="00A541F3"/>
    <w:rsid w:val="00A94B0B"/>
    <w:rsid w:val="00AA1060"/>
    <w:rsid w:val="00AA3500"/>
    <w:rsid w:val="00AD1FF5"/>
    <w:rsid w:val="00B21FA0"/>
    <w:rsid w:val="00B56A3B"/>
    <w:rsid w:val="00B94561"/>
    <w:rsid w:val="00BD7819"/>
    <w:rsid w:val="00C3458E"/>
    <w:rsid w:val="00C375D4"/>
    <w:rsid w:val="00C44628"/>
    <w:rsid w:val="00C55CCD"/>
    <w:rsid w:val="00C85F8B"/>
    <w:rsid w:val="00C94B4C"/>
    <w:rsid w:val="00CC1E4F"/>
    <w:rsid w:val="00CE3B5C"/>
    <w:rsid w:val="00CE692C"/>
    <w:rsid w:val="00CF1D0A"/>
    <w:rsid w:val="00CF5221"/>
    <w:rsid w:val="00CF67A8"/>
    <w:rsid w:val="00D02592"/>
    <w:rsid w:val="00D102BF"/>
    <w:rsid w:val="00D44E2D"/>
    <w:rsid w:val="00D9670E"/>
    <w:rsid w:val="00DB1E4C"/>
    <w:rsid w:val="00DF66D6"/>
    <w:rsid w:val="00E04AC0"/>
    <w:rsid w:val="00E15B81"/>
    <w:rsid w:val="00E207C7"/>
    <w:rsid w:val="00E354FD"/>
    <w:rsid w:val="00E3592B"/>
    <w:rsid w:val="00E8585C"/>
    <w:rsid w:val="00E9136D"/>
    <w:rsid w:val="00ED092D"/>
    <w:rsid w:val="00ED7151"/>
    <w:rsid w:val="00F01202"/>
    <w:rsid w:val="00F14E07"/>
    <w:rsid w:val="00F25AEF"/>
    <w:rsid w:val="00F459E1"/>
    <w:rsid w:val="00F46E80"/>
    <w:rsid w:val="00F51FFA"/>
    <w:rsid w:val="00F70646"/>
    <w:rsid w:val="00F776D9"/>
    <w:rsid w:val="00F87DEF"/>
    <w:rsid w:val="00FA05C6"/>
    <w:rsid w:val="00FB3AD5"/>
    <w:rsid w:val="00FC51A9"/>
    <w:rsid w:val="00FD4536"/>
    <w:rsid w:val="00FE2756"/>
    <w:rsid w:val="02685691"/>
    <w:rsid w:val="0BA509D5"/>
    <w:rsid w:val="0EC934C9"/>
    <w:rsid w:val="145536F8"/>
    <w:rsid w:val="1CD74B80"/>
    <w:rsid w:val="1DFD16BF"/>
    <w:rsid w:val="1F9865F4"/>
    <w:rsid w:val="20927975"/>
    <w:rsid w:val="22AD398D"/>
    <w:rsid w:val="26ED56F4"/>
    <w:rsid w:val="27C20F5D"/>
    <w:rsid w:val="2ECB1DF8"/>
    <w:rsid w:val="319612B8"/>
    <w:rsid w:val="3569631B"/>
    <w:rsid w:val="364E49A9"/>
    <w:rsid w:val="418A6E16"/>
    <w:rsid w:val="454D6117"/>
    <w:rsid w:val="48635013"/>
    <w:rsid w:val="4D204C53"/>
    <w:rsid w:val="545E460A"/>
    <w:rsid w:val="6351526B"/>
    <w:rsid w:val="638D16FC"/>
    <w:rsid w:val="67D32F07"/>
    <w:rsid w:val="6F2C0F1B"/>
    <w:rsid w:val="73463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1">
    <w:name w:val="List Paragraph"/>
    <w:basedOn w:val="1"/>
    <w:qFormat/>
    <w:uiPriority w:val="34"/>
    <w:pPr>
      <w:ind w:firstLine="420" w:firstLineChars="200"/>
    </w:pPr>
  </w:style>
  <w:style w:type="paragraph" w:customStyle="1" w:styleId="12">
    <w:name w:val="表题"/>
    <w:basedOn w:val="1"/>
    <w:qFormat/>
    <w:uiPriority w:val="0"/>
    <w:pPr>
      <w:autoSpaceDE w:val="0"/>
      <w:autoSpaceDN w:val="0"/>
      <w:adjustRightInd w:val="0"/>
    </w:pPr>
    <w:rPr>
      <w:rFonts w:ascii="Arial" w:hAnsi="Arial" w:eastAsia="楷体_GB2312" w:cs="Times New Roman"/>
      <w:b/>
      <w:color w:val="0F243E" w:themeColor="text2" w:themeShade="80"/>
      <w:kern w:val="0"/>
      <w:szCs w:val="21"/>
      <w:lang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1A791-1998-4338-A56A-8A957E1099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596</Words>
  <Characters>3400</Characters>
  <Lines>28</Lines>
  <Paragraphs>7</Paragraphs>
  <TotalTime>0</TotalTime>
  <ScaleCrop>false</ScaleCrop>
  <LinksUpToDate>false</LinksUpToDate>
  <CharactersWithSpaces>3989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2019-09-06T09:00:00Z</dcterms:created>
  <dc:creator>郑国君</dc:creator>
  <cp:lastModifiedBy>张大佩</cp:lastModifiedBy>
  <cp:lastPrinted>2018-12-13T10:05:00Z</cp:lastPrinted>
  <dcterms:modified xsi:type="dcterms:W3CDTF">2019-09-06T09:07:10Z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