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1717" w:rsidRDefault="00FB1717" w:rsidP="006147E7">
      <w:pPr>
        <w:spacing w:beforeLines="50" w:afterLines="50" w:line="400" w:lineRule="exact"/>
        <w:rPr>
          <w:bCs/>
          <w:iCs/>
          <w:sz w:val="24"/>
        </w:rPr>
      </w:pPr>
      <w:r>
        <w:rPr>
          <w:bCs/>
          <w:iCs/>
          <w:sz w:val="24"/>
        </w:rPr>
        <w:t>证券代码：</w:t>
      </w:r>
      <w:r w:rsidR="003F576D">
        <w:rPr>
          <w:bCs/>
          <w:iCs/>
          <w:sz w:val="24"/>
        </w:rPr>
        <w:t xml:space="preserve">002174                                  </w:t>
      </w:r>
      <w:r>
        <w:rPr>
          <w:bCs/>
          <w:iCs/>
          <w:sz w:val="24"/>
        </w:rPr>
        <w:t>证券简称：</w:t>
      </w:r>
      <w:r w:rsidR="00A40A9D">
        <w:rPr>
          <w:rFonts w:hint="eastAsia"/>
          <w:bCs/>
          <w:iCs/>
          <w:sz w:val="24"/>
        </w:rPr>
        <w:t>游族网络</w:t>
      </w:r>
    </w:p>
    <w:p w:rsidR="00FB1717" w:rsidRDefault="00FB1717" w:rsidP="006147E7">
      <w:pPr>
        <w:spacing w:beforeLines="50" w:afterLines="50" w:line="400" w:lineRule="exact"/>
        <w:ind w:firstLineChars="300" w:firstLine="720"/>
        <w:rPr>
          <w:bCs/>
          <w:iCs/>
          <w:sz w:val="24"/>
        </w:rPr>
      </w:pPr>
    </w:p>
    <w:p w:rsidR="00FB1717" w:rsidRDefault="00602C4B" w:rsidP="006147E7">
      <w:pPr>
        <w:spacing w:beforeLines="50" w:afterLines="50" w:line="400" w:lineRule="exact"/>
        <w:jc w:val="center"/>
        <w:rPr>
          <w:b/>
          <w:bCs/>
          <w:iCs/>
          <w:sz w:val="24"/>
          <w:szCs w:val="24"/>
        </w:rPr>
      </w:pPr>
      <w:r>
        <w:rPr>
          <w:rFonts w:hint="eastAsia"/>
          <w:b/>
          <w:bCs/>
          <w:iCs/>
          <w:sz w:val="24"/>
          <w:szCs w:val="24"/>
        </w:rPr>
        <w:t>游族网络</w:t>
      </w:r>
      <w:r w:rsidR="00FB1717">
        <w:rPr>
          <w:b/>
          <w:bCs/>
          <w:iCs/>
          <w:sz w:val="24"/>
          <w:szCs w:val="24"/>
        </w:rPr>
        <w:t>股份有限公司</w:t>
      </w:r>
      <w:bookmarkStart w:id="0" w:name="OLE_LINK1"/>
      <w:bookmarkStart w:id="1" w:name="OLE_LINK2"/>
      <w:r w:rsidR="00FB1717">
        <w:rPr>
          <w:b/>
          <w:bCs/>
          <w:iCs/>
          <w:sz w:val="24"/>
          <w:szCs w:val="24"/>
        </w:rPr>
        <w:t>投资者关系活动记录表</w:t>
      </w:r>
      <w:bookmarkEnd w:id="0"/>
      <w:bookmarkEnd w:id="1"/>
    </w:p>
    <w:p w:rsidR="00FB1717" w:rsidRDefault="00FB1717">
      <w:pPr>
        <w:spacing w:line="400" w:lineRule="exac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</w:t>
      </w:r>
      <w:r>
        <w:rPr>
          <w:bCs/>
          <w:iCs/>
          <w:sz w:val="24"/>
          <w:szCs w:val="24"/>
        </w:rPr>
        <w:t>编号：</w:t>
      </w:r>
      <w:r w:rsidR="00E064CB">
        <w:rPr>
          <w:bCs/>
          <w:iCs/>
          <w:sz w:val="24"/>
          <w:szCs w:val="24"/>
        </w:rPr>
        <w:t>201</w:t>
      </w:r>
      <w:r w:rsidR="00294EDD">
        <w:rPr>
          <w:rFonts w:hint="eastAsia"/>
          <w:bCs/>
          <w:iCs/>
          <w:sz w:val="24"/>
          <w:szCs w:val="24"/>
        </w:rPr>
        <w:t>90</w:t>
      </w:r>
      <w:r w:rsidR="00183E70">
        <w:rPr>
          <w:rFonts w:hint="eastAsia"/>
          <w:bCs/>
          <w:iCs/>
          <w:sz w:val="24"/>
          <w:szCs w:val="24"/>
        </w:rPr>
        <w:t>903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564"/>
      </w:tblGrid>
      <w:tr w:rsidR="00FB1717" w:rsidTr="007728F5">
        <w:tc>
          <w:tcPr>
            <w:tcW w:w="1908" w:type="dxa"/>
          </w:tcPr>
          <w:p w:rsidR="00FB1717" w:rsidRDefault="00FB171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B1717" w:rsidRDefault="00FB171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4" w:type="dxa"/>
          </w:tcPr>
          <w:p w:rsidR="00FB1717" w:rsidRDefault="00FB171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:rsidR="00FB1717" w:rsidRDefault="00FB171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:rsidR="00FB1717" w:rsidRDefault="00FB171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:rsidR="00FB1717" w:rsidRDefault="00FB1717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:rsidR="00FB1717" w:rsidRDefault="00FB1717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B1717" w:rsidRPr="00FE430A" w:rsidTr="007728F5">
        <w:tc>
          <w:tcPr>
            <w:tcW w:w="1908" w:type="dxa"/>
          </w:tcPr>
          <w:p w:rsidR="00FB1717" w:rsidRDefault="00FB171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564" w:type="dxa"/>
          </w:tcPr>
          <w:p w:rsidR="00FB1717" w:rsidRPr="00C81967" w:rsidRDefault="00FE430A" w:rsidP="00D54C35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天风证券、海通证券、安信证券</w:t>
            </w:r>
            <w:r w:rsidR="00777CB3">
              <w:rPr>
                <w:rFonts w:ascii="宋体" w:hAnsi="宋体" w:hint="eastAsia"/>
                <w:sz w:val="24"/>
              </w:rPr>
              <w:t>、</w:t>
            </w:r>
            <w:r w:rsidR="00DC16A5">
              <w:rPr>
                <w:rFonts w:ascii="宋体" w:hAnsi="宋体" w:hint="eastAsia"/>
                <w:sz w:val="24"/>
              </w:rPr>
              <w:t>招商证券</w:t>
            </w:r>
            <w:r w:rsidR="00777CB3">
              <w:rPr>
                <w:rFonts w:ascii="宋体" w:hAnsi="宋体" w:hint="eastAsia"/>
                <w:sz w:val="24"/>
              </w:rPr>
              <w:t>、</w:t>
            </w:r>
            <w:r w:rsidR="009A6A35">
              <w:rPr>
                <w:rFonts w:ascii="宋体" w:hAnsi="宋体" w:hint="eastAsia"/>
                <w:sz w:val="24"/>
              </w:rPr>
              <w:t>光大证券、德邦证券、太平资产、浙商基金、</w:t>
            </w:r>
            <w:r w:rsidR="00D54C35">
              <w:rPr>
                <w:rFonts w:ascii="宋体" w:hAnsi="宋体" w:hint="eastAsia"/>
                <w:sz w:val="24"/>
              </w:rPr>
              <w:t>华宝</w:t>
            </w:r>
            <w:r w:rsidR="009A6A35">
              <w:rPr>
                <w:rFonts w:ascii="宋体" w:hAnsi="宋体" w:hint="eastAsia"/>
                <w:sz w:val="24"/>
              </w:rPr>
              <w:t>基金</w:t>
            </w:r>
            <w:r w:rsidR="00F34143">
              <w:rPr>
                <w:rFonts w:ascii="宋体" w:hAnsi="宋体" w:hint="eastAsia"/>
                <w:sz w:val="24"/>
              </w:rPr>
              <w:t>等</w:t>
            </w:r>
          </w:p>
        </w:tc>
      </w:tr>
      <w:tr w:rsidR="00FB1717" w:rsidTr="007728F5">
        <w:tc>
          <w:tcPr>
            <w:tcW w:w="1908" w:type="dxa"/>
          </w:tcPr>
          <w:p w:rsidR="00FB1717" w:rsidRDefault="00FB171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564" w:type="dxa"/>
          </w:tcPr>
          <w:p w:rsidR="00FB1717" w:rsidRDefault="00795C08" w:rsidP="00D54C35">
            <w:pPr>
              <w:spacing w:line="480" w:lineRule="atLeast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 w:rsidR="00294EDD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="00FB1717">
              <w:rPr>
                <w:bCs/>
                <w:iCs/>
                <w:sz w:val="24"/>
                <w:szCs w:val="24"/>
              </w:rPr>
              <w:t>年</w:t>
            </w:r>
            <w:r w:rsidR="008C4EA5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="00FB1717">
              <w:rPr>
                <w:bCs/>
                <w:iCs/>
                <w:sz w:val="24"/>
                <w:szCs w:val="24"/>
              </w:rPr>
              <w:t>月</w:t>
            </w:r>
            <w:r w:rsidR="00D54C35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FB1717">
              <w:rPr>
                <w:bCs/>
                <w:iCs/>
                <w:sz w:val="24"/>
                <w:szCs w:val="24"/>
              </w:rPr>
              <w:t>日</w:t>
            </w:r>
            <w:r w:rsidR="00FB1717">
              <w:rPr>
                <w:bCs/>
                <w:iCs/>
                <w:sz w:val="24"/>
                <w:szCs w:val="24"/>
              </w:rPr>
              <w:t xml:space="preserve"> </w:t>
            </w:r>
            <w:r w:rsidR="00E56A43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8C4EA5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FB1717">
              <w:rPr>
                <w:rFonts w:hint="eastAsia"/>
                <w:bCs/>
                <w:iCs/>
                <w:sz w:val="24"/>
                <w:szCs w:val="24"/>
              </w:rPr>
              <w:t>:</w:t>
            </w:r>
            <w:r w:rsidR="008C4EA5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="00FB1717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="00FB1717">
              <w:rPr>
                <w:bCs/>
                <w:iCs/>
                <w:sz w:val="24"/>
                <w:szCs w:val="24"/>
              </w:rPr>
              <w:t>-</w:t>
            </w:r>
            <w:r w:rsidR="00E56A43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8C4EA5"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FB1717">
              <w:rPr>
                <w:bCs/>
                <w:iCs/>
                <w:sz w:val="24"/>
                <w:szCs w:val="24"/>
              </w:rPr>
              <w:t>:</w:t>
            </w:r>
            <w:r w:rsidR="008C4EA5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5575A4">
              <w:rPr>
                <w:rFonts w:hint="eastAsia"/>
                <w:bCs/>
                <w:iCs/>
                <w:sz w:val="24"/>
                <w:szCs w:val="24"/>
              </w:rPr>
              <w:t>0</w:t>
            </w:r>
          </w:p>
          <w:p w:rsidR="00183E70" w:rsidRDefault="00183E70" w:rsidP="00D54C35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>
              <w:rPr>
                <w:rFonts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日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10:30-11:30</w:t>
            </w:r>
          </w:p>
        </w:tc>
      </w:tr>
      <w:tr w:rsidR="00FB1717" w:rsidTr="007728F5">
        <w:tc>
          <w:tcPr>
            <w:tcW w:w="1908" w:type="dxa"/>
          </w:tcPr>
          <w:p w:rsidR="00FB1717" w:rsidRDefault="00FB171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564" w:type="dxa"/>
          </w:tcPr>
          <w:p w:rsidR="00FB1717" w:rsidRDefault="00A40A9D" w:rsidP="00E56A43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上海市宜山路</w:t>
            </w:r>
            <w:r>
              <w:rPr>
                <w:rFonts w:hint="eastAsia"/>
                <w:bCs/>
                <w:iCs/>
                <w:sz w:val="24"/>
                <w:szCs w:val="24"/>
              </w:rPr>
              <w:t>711</w:t>
            </w:r>
            <w:r>
              <w:rPr>
                <w:rFonts w:hint="eastAsia"/>
                <w:bCs/>
                <w:iCs/>
                <w:sz w:val="24"/>
                <w:szCs w:val="24"/>
              </w:rPr>
              <w:t>号</w:t>
            </w: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号楼</w:t>
            </w:r>
          </w:p>
        </w:tc>
      </w:tr>
      <w:tr w:rsidR="00FB1717" w:rsidTr="007728F5">
        <w:tc>
          <w:tcPr>
            <w:tcW w:w="1908" w:type="dxa"/>
          </w:tcPr>
          <w:p w:rsidR="00FB1717" w:rsidRDefault="00FB1717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564" w:type="dxa"/>
          </w:tcPr>
          <w:p w:rsidR="00FB1717" w:rsidRDefault="00E56A43" w:rsidP="00294EDD">
            <w:pPr>
              <w:pStyle w:val="a8"/>
              <w:ind w:firstLineChars="0" w:firstLine="0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iCs/>
                <w:szCs w:val="24"/>
              </w:rPr>
              <w:t>总裁</w:t>
            </w:r>
            <w:r w:rsidR="00592AED">
              <w:rPr>
                <w:rFonts w:ascii="Times New Roman" w:hAnsi="Times New Roman" w:cs="Times New Roman" w:hint="eastAsia"/>
                <w:bCs/>
                <w:iCs/>
                <w:szCs w:val="24"/>
              </w:rPr>
              <w:t>陈礼标、</w:t>
            </w:r>
            <w:r>
              <w:rPr>
                <w:rFonts w:ascii="Times New Roman" w:hAnsi="Times New Roman" w:cs="Times New Roman" w:hint="eastAsia"/>
                <w:bCs/>
                <w:iCs/>
                <w:szCs w:val="24"/>
              </w:rPr>
              <w:t>董秘</w:t>
            </w:r>
            <w:r w:rsidR="00592AED">
              <w:rPr>
                <w:rFonts w:ascii="Times New Roman" w:hAnsi="Times New Roman" w:cs="Times New Roman" w:hint="eastAsia"/>
                <w:bCs/>
                <w:iCs/>
                <w:szCs w:val="24"/>
              </w:rPr>
              <w:t>许彬；</w:t>
            </w:r>
          </w:p>
        </w:tc>
      </w:tr>
      <w:tr w:rsidR="00FB1717" w:rsidRPr="00D45F34" w:rsidTr="007728F5">
        <w:trPr>
          <w:trHeight w:val="1757"/>
        </w:trPr>
        <w:tc>
          <w:tcPr>
            <w:tcW w:w="1908" w:type="dxa"/>
            <w:vAlign w:val="center"/>
          </w:tcPr>
          <w:p w:rsidR="00FB1717" w:rsidRDefault="00FB1717">
            <w:pPr>
              <w:spacing w:line="480" w:lineRule="atLeas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投资者关系活动主要内容介绍</w:t>
            </w:r>
          </w:p>
          <w:p w:rsidR="00FB1717" w:rsidRDefault="00FB1717">
            <w:pPr>
              <w:spacing w:line="480" w:lineRule="atLeast"/>
              <w:rPr>
                <w:rFonts w:hAnsi="宋体"/>
                <w:sz w:val="24"/>
                <w:szCs w:val="24"/>
              </w:rPr>
            </w:pPr>
          </w:p>
        </w:tc>
        <w:tc>
          <w:tcPr>
            <w:tcW w:w="6564" w:type="dxa"/>
          </w:tcPr>
          <w:p w:rsidR="00D73A77" w:rsidRDefault="00302775" w:rsidP="009C2844">
            <w:pPr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会议</w:t>
            </w:r>
            <w:r>
              <w:rPr>
                <w:rFonts w:hAnsi="宋体"/>
                <w:sz w:val="24"/>
                <w:szCs w:val="24"/>
              </w:rPr>
              <w:t>主</w:t>
            </w:r>
            <w:r w:rsidR="00D73A77">
              <w:rPr>
                <w:rFonts w:hAnsi="宋体" w:hint="eastAsia"/>
                <w:sz w:val="24"/>
                <w:szCs w:val="24"/>
              </w:rPr>
              <w:t>要内容</w:t>
            </w:r>
            <w:r>
              <w:rPr>
                <w:rFonts w:hAnsi="宋体"/>
                <w:sz w:val="24"/>
                <w:szCs w:val="24"/>
              </w:rPr>
              <w:t>为：</w:t>
            </w:r>
          </w:p>
          <w:p w:rsidR="008C4EA5" w:rsidRDefault="008C4EA5" w:rsidP="00287234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8C4EA5">
              <w:rPr>
                <w:rFonts w:ascii="宋体" w:hAnsi="宋体" w:hint="eastAsia"/>
                <w:szCs w:val="21"/>
              </w:rPr>
              <w:t>公司于上周五</w:t>
            </w:r>
            <w:r w:rsidR="006A4BF0">
              <w:rPr>
                <w:rFonts w:ascii="宋体" w:hAnsi="宋体" w:hint="eastAsia"/>
                <w:szCs w:val="21"/>
              </w:rPr>
              <w:t>8月</w:t>
            </w:r>
            <w:r w:rsidRPr="008C4EA5">
              <w:rPr>
                <w:rFonts w:ascii="宋体" w:hAnsi="宋体" w:hint="eastAsia"/>
                <w:szCs w:val="21"/>
              </w:rPr>
              <w:t>30日发布了半年报，公司上半年</w:t>
            </w:r>
            <w:r w:rsidR="006A4BF0">
              <w:rPr>
                <w:rFonts w:ascii="宋体" w:hAnsi="宋体" w:hint="eastAsia"/>
                <w:szCs w:val="21"/>
              </w:rPr>
              <w:t>受产品周期影响，</w:t>
            </w:r>
            <w:r w:rsidRPr="008C4EA5">
              <w:rPr>
                <w:rFonts w:ascii="宋体" w:hAnsi="宋体" w:hint="eastAsia"/>
                <w:szCs w:val="21"/>
              </w:rPr>
              <w:t>共实现营业收入17.3亿，同比下降3.19%</w:t>
            </w:r>
            <w:r w:rsidR="006A4BF0">
              <w:rPr>
                <w:rFonts w:ascii="宋体" w:hAnsi="宋体" w:hint="eastAsia"/>
                <w:szCs w:val="21"/>
              </w:rPr>
              <w:t>。今年上半年，公司在手游发行</w:t>
            </w:r>
            <w:r w:rsidRPr="008C4EA5">
              <w:rPr>
                <w:rFonts w:ascii="宋体" w:hAnsi="宋体" w:hint="eastAsia"/>
                <w:szCs w:val="21"/>
              </w:rPr>
              <w:t>先后推出</w:t>
            </w:r>
            <w:r w:rsidR="00490E5F">
              <w:rPr>
                <w:rFonts w:ascii="宋体" w:hAnsi="宋体" w:hint="eastAsia"/>
                <w:szCs w:val="21"/>
              </w:rPr>
              <w:t>《</w:t>
            </w:r>
            <w:r w:rsidR="00490E5F" w:rsidRPr="008C4EA5">
              <w:rPr>
                <w:rFonts w:ascii="宋体" w:hAnsi="宋体" w:hint="eastAsia"/>
                <w:szCs w:val="21"/>
              </w:rPr>
              <w:t>俺的战国</w:t>
            </w:r>
            <w:r w:rsidR="00490E5F">
              <w:rPr>
                <w:rFonts w:ascii="宋体" w:hAnsi="宋体" w:hint="eastAsia"/>
                <w:szCs w:val="21"/>
              </w:rPr>
              <w:t>》</w:t>
            </w:r>
            <w:r w:rsidRPr="008C4EA5">
              <w:rPr>
                <w:rFonts w:ascii="宋体" w:hAnsi="宋体" w:hint="eastAsia"/>
                <w:szCs w:val="21"/>
              </w:rPr>
              <w:t>，</w:t>
            </w:r>
            <w:r w:rsidR="00490E5F">
              <w:rPr>
                <w:rFonts w:ascii="宋体" w:hAnsi="宋体" w:hint="eastAsia"/>
                <w:szCs w:val="21"/>
              </w:rPr>
              <w:t>《</w:t>
            </w:r>
            <w:r w:rsidR="00490E5F" w:rsidRPr="008C4EA5">
              <w:rPr>
                <w:rFonts w:ascii="宋体" w:hAnsi="宋体" w:hint="eastAsia"/>
                <w:szCs w:val="21"/>
              </w:rPr>
              <w:t>圣斗士</w:t>
            </w:r>
            <w:r w:rsidR="00490E5F">
              <w:rPr>
                <w:rFonts w:ascii="宋体" w:hAnsi="宋体" w:hint="eastAsia"/>
                <w:szCs w:val="21"/>
              </w:rPr>
              <w:t>星矢：觉醒》</w:t>
            </w:r>
            <w:r w:rsidRPr="008C4EA5">
              <w:rPr>
                <w:rFonts w:ascii="宋体" w:hAnsi="宋体" w:hint="eastAsia"/>
                <w:szCs w:val="21"/>
              </w:rPr>
              <w:t>，</w:t>
            </w:r>
            <w:r w:rsidR="00490E5F">
              <w:rPr>
                <w:rFonts w:ascii="宋体" w:hAnsi="宋体" w:hint="eastAsia"/>
                <w:szCs w:val="21"/>
              </w:rPr>
              <w:t>《</w:t>
            </w:r>
            <w:r w:rsidR="00490E5F" w:rsidRPr="008C4EA5">
              <w:rPr>
                <w:rFonts w:ascii="宋体" w:hAnsi="宋体" w:hint="eastAsia"/>
                <w:szCs w:val="21"/>
              </w:rPr>
              <w:t>一直奔向月</w:t>
            </w:r>
            <w:r w:rsidR="00490E5F">
              <w:rPr>
                <w:rFonts w:ascii="宋体" w:hAnsi="宋体" w:hint="eastAsia"/>
                <w:szCs w:val="21"/>
              </w:rPr>
              <w:t>》</w:t>
            </w:r>
            <w:r w:rsidRPr="008C4EA5">
              <w:rPr>
                <w:rFonts w:ascii="宋体" w:hAnsi="宋体" w:hint="eastAsia"/>
                <w:szCs w:val="21"/>
              </w:rPr>
              <w:t>，</w:t>
            </w:r>
            <w:r w:rsidR="00490E5F">
              <w:rPr>
                <w:rFonts w:ascii="宋体" w:hAnsi="宋体" w:hint="eastAsia"/>
                <w:szCs w:val="21"/>
              </w:rPr>
              <w:t>《</w:t>
            </w:r>
            <w:r w:rsidR="00490E5F" w:rsidRPr="008C4EA5">
              <w:rPr>
                <w:rFonts w:ascii="宋体" w:hAnsi="宋体" w:hint="eastAsia"/>
                <w:szCs w:val="21"/>
              </w:rPr>
              <w:t>神都</w:t>
            </w:r>
            <w:r w:rsidR="00490E5F">
              <w:rPr>
                <w:rFonts w:ascii="宋体" w:hAnsi="宋体" w:hint="eastAsia"/>
                <w:szCs w:val="21"/>
              </w:rPr>
              <w:t>夜行录》</w:t>
            </w:r>
            <w:r w:rsidRPr="008C4EA5">
              <w:rPr>
                <w:rFonts w:ascii="宋体" w:hAnsi="宋体" w:hint="eastAsia"/>
                <w:szCs w:val="21"/>
              </w:rPr>
              <w:t>等手游产品，</w:t>
            </w:r>
            <w:r w:rsidR="006A4BF0">
              <w:rPr>
                <w:rFonts w:ascii="宋体" w:hAnsi="宋体" w:hint="eastAsia"/>
                <w:szCs w:val="21"/>
              </w:rPr>
              <w:t>上半年，</w:t>
            </w:r>
            <w:r w:rsidRPr="008C4EA5">
              <w:rPr>
                <w:rFonts w:ascii="宋体" w:hAnsi="宋体" w:hint="eastAsia"/>
                <w:szCs w:val="21"/>
              </w:rPr>
              <w:t>手游收入达12.3亿，同比上升6.71%</w:t>
            </w:r>
            <w:r w:rsidR="00AE21BE">
              <w:rPr>
                <w:rFonts w:ascii="宋体" w:hAnsi="宋体" w:hint="eastAsia"/>
                <w:szCs w:val="21"/>
              </w:rPr>
              <w:t>；页游3月底也在海外推出《权游》</w:t>
            </w:r>
            <w:r w:rsidR="006A4BF0">
              <w:rPr>
                <w:rFonts w:ascii="宋体" w:hAnsi="宋体" w:hint="eastAsia"/>
                <w:szCs w:val="21"/>
              </w:rPr>
              <w:t>国际版</w:t>
            </w:r>
            <w:r w:rsidRPr="008C4EA5">
              <w:rPr>
                <w:rFonts w:ascii="宋体" w:hAnsi="宋体" w:hint="eastAsia"/>
                <w:szCs w:val="21"/>
              </w:rPr>
              <w:t>，现</w:t>
            </w:r>
            <w:r w:rsidR="00AE21BE">
              <w:rPr>
                <w:rFonts w:ascii="宋体" w:hAnsi="宋体" w:hint="eastAsia"/>
                <w:szCs w:val="21"/>
              </w:rPr>
              <w:t>在还处于爬坡期，月流水稳中有升</w:t>
            </w:r>
            <w:r w:rsidR="00D00FB7">
              <w:rPr>
                <w:rFonts w:ascii="宋体" w:hAnsi="宋体" w:hint="eastAsia"/>
                <w:szCs w:val="21"/>
              </w:rPr>
              <w:t>，</w:t>
            </w:r>
            <w:r w:rsidR="006A4BF0">
              <w:rPr>
                <w:rFonts w:ascii="宋体" w:hAnsi="宋体" w:hint="eastAsia"/>
                <w:szCs w:val="21"/>
              </w:rPr>
              <w:t>上半年</w:t>
            </w:r>
            <w:r w:rsidRPr="008C4EA5">
              <w:rPr>
                <w:rFonts w:ascii="宋体" w:hAnsi="宋体" w:hint="eastAsia"/>
                <w:szCs w:val="21"/>
              </w:rPr>
              <w:t>总体页游收入4.2亿。分地区来看，海外地区收入</w:t>
            </w:r>
            <w:r w:rsidR="00AE21BE">
              <w:rPr>
                <w:rFonts w:ascii="宋体" w:hAnsi="宋体" w:hint="eastAsia"/>
                <w:szCs w:val="21"/>
              </w:rPr>
              <w:t>突破</w:t>
            </w:r>
            <w:r w:rsidRPr="008C4EA5">
              <w:rPr>
                <w:rFonts w:ascii="宋体" w:hAnsi="宋体" w:hint="eastAsia"/>
                <w:szCs w:val="21"/>
              </w:rPr>
              <w:t>10亿，占比</w:t>
            </w:r>
            <w:r w:rsidR="00AE21BE">
              <w:rPr>
                <w:rFonts w:ascii="宋体" w:hAnsi="宋体" w:hint="eastAsia"/>
                <w:szCs w:val="21"/>
              </w:rPr>
              <w:t>也创新高，</w:t>
            </w:r>
            <w:r w:rsidRPr="008C4EA5">
              <w:rPr>
                <w:rFonts w:ascii="宋体" w:hAnsi="宋体" w:hint="eastAsia"/>
                <w:szCs w:val="21"/>
              </w:rPr>
              <w:t>达到58.36%</w:t>
            </w:r>
            <w:r w:rsidR="00DB08B3">
              <w:rPr>
                <w:rFonts w:ascii="宋体" w:hAnsi="宋体" w:hint="eastAsia"/>
                <w:szCs w:val="21"/>
              </w:rPr>
              <w:t>，归功于公司上半年在海外上线的多款自研及代理产品</w:t>
            </w:r>
            <w:r w:rsidRPr="008C4EA5">
              <w:rPr>
                <w:rFonts w:ascii="宋体" w:hAnsi="宋体" w:hint="eastAsia"/>
                <w:szCs w:val="21"/>
              </w:rPr>
              <w:t>。</w:t>
            </w:r>
            <w:r w:rsidR="00DB08B3">
              <w:rPr>
                <w:rFonts w:ascii="宋体" w:hAnsi="宋体" w:hint="eastAsia"/>
                <w:szCs w:val="21"/>
              </w:rPr>
              <w:t>截止上半年，公司</w:t>
            </w:r>
            <w:r w:rsidRPr="008C4EA5">
              <w:rPr>
                <w:rFonts w:ascii="宋体" w:hAnsi="宋体" w:hint="eastAsia"/>
                <w:szCs w:val="21"/>
              </w:rPr>
              <w:t>归母净利润4.07亿，扣非归母净利润3.17亿，同比下降16.6%。</w:t>
            </w:r>
          </w:p>
          <w:p w:rsidR="00D00FB7" w:rsidRDefault="00D00FB7" w:rsidP="00287234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分季度来看，公司Q2营业收入8.97亿元，环比增长7.71%，归母净利润2.34亿元，环比增长35.6%。</w:t>
            </w:r>
          </w:p>
          <w:p w:rsidR="00D00FB7" w:rsidRPr="008C4EA5" w:rsidRDefault="00AE21BE" w:rsidP="00287234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同时</w:t>
            </w:r>
            <w:r w:rsidR="008C4EA5" w:rsidRPr="008C4EA5">
              <w:rPr>
                <w:rFonts w:ascii="宋体" w:hAnsi="宋体" w:hint="eastAsia"/>
                <w:szCs w:val="21"/>
              </w:rPr>
              <w:t>公司</w:t>
            </w:r>
            <w:r w:rsidR="00D00FB7">
              <w:rPr>
                <w:rFonts w:ascii="宋体" w:hAnsi="宋体" w:hint="eastAsia"/>
                <w:szCs w:val="21"/>
              </w:rPr>
              <w:t>公布前三季度业绩指引，预计</w:t>
            </w:r>
            <w:r w:rsidR="008C4EA5" w:rsidRPr="008C4EA5">
              <w:rPr>
                <w:rFonts w:ascii="宋体" w:hAnsi="宋体" w:hint="eastAsia"/>
                <w:szCs w:val="21"/>
              </w:rPr>
              <w:t>2019年1-9月</w:t>
            </w:r>
            <w:r w:rsidR="00D00FB7">
              <w:rPr>
                <w:rFonts w:ascii="宋体" w:hAnsi="宋体" w:hint="eastAsia"/>
                <w:szCs w:val="21"/>
              </w:rPr>
              <w:t>实现归母净利润</w:t>
            </w:r>
            <w:r w:rsidR="008C4EA5" w:rsidRPr="008C4EA5">
              <w:rPr>
                <w:rFonts w:ascii="宋体" w:hAnsi="宋体" w:hint="eastAsia"/>
                <w:szCs w:val="21"/>
              </w:rPr>
              <w:t>7~8亿元，同比增长2.52%~17.16%，</w:t>
            </w:r>
            <w:r w:rsidR="00D00FB7">
              <w:rPr>
                <w:rFonts w:ascii="宋体" w:hAnsi="宋体" w:hint="eastAsia"/>
                <w:szCs w:val="21"/>
              </w:rPr>
              <w:t>其中</w:t>
            </w:r>
            <w:r w:rsidR="008C4EA5" w:rsidRPr="008C4EA5">
              <w:rPr>
                <w:rFonts w:ascii="宋体" w:hAnsi="宋体" w:hint="eastAsia"/>
                <w:szCs w:val="21"/>
              </w:rPr>
              <w:t>Q3预计</w:t>
            </w:r>
            <w:r w:rsidR="00D00FB7">
              <w:rPr>
                <w:rFonts w:ascii="宋体" w:hAnsi="宋体" w:hint="eastAsia"/>
                <w:szCs w:val="21"/>
              </w:rPr>
              <w:t>实现归母净利润</w:t>
            </w:r>
            <w:r w:rsidR="008C4EA5" w:rsidRPr="008C4EA5">
              <w:rPr>
                <w:rFonts w:ascii="宋体" w:hAnsi="宋体" w:hint="eastAsia"/>
                <w:szCs w:val="21"/>
              </w:rPr>
              <w:t>2.93亿元~3.93亿元，同比增长54.33%~107.01%。</w:t>
            </w:r>
          </w:p>
          <w:p w:rsidR="00477F21" w:rsidRDefault="00477F21" w:rsidP="00287234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公司大IP产品</w:t>
            </w:r>
            <w:r w:rsidR="00AE21BE"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权力的游戏凛冬将至</w:t>
            </w:r>
            <w:r w:rsidR="00AE21BE">
              <w:rPr>
                <w:rFonts w:ascii="宋体" w:hAnsi="宋体" w:hint="eastAsia"/>
                <w:szCs w:val="21"/>
              </w:rPr>
              <w:t>》</w:t>
            </w:r>
            <w:r w:rsidR="008C4EA5" w:rsidRPr="008C4EA5">
              <w:rPr>
                <w:rFonts w:ascii="宋体" w:hAnsi="宋体" w:hint="eastAsia"/>
                <w:szCs w:val="21"/>
              </w:rPr>
              <w:t>手游</w:t>
            </w:r>
            <w:r w:rsidR="00AE21BE">
              <w:rPr>
                <w:rFonts w:ascii="宋体" w:hAnsi="宋体" w:hint="eastAsia"/>
                <w:szCs w:val="21"/>
              </w:rPr>
              <w:t>已</w:t>
            </w:r>
            <w:r w:rsidR="008C4EA5" w:rsidRPr="008C4EA5">
              <w:rPr>
                <w:rFonts w:ascii="宋体" w:hAnsi="宋体" w:hint="eastAsia"/>
                <w:szCs w:val="21"/>
              </w:rPr>
              <w:t>于</w:t>
            </w:r>
            <w:r w:rsidR="00D00FB7">
              <w:rPr>
                <w:rFonts w:ascii="宋体" w:hAnsi="宋体" w:hint="eastAsia"/>
                <w:szCs w:val="21"/>
              </w:rPr>
              <w:t>7月10日开启不删档测试，上线以来，上线5天内连续获得3次苹果App Store官方推荐，首月稳居策略游戏畅销榜前十。</w:t>
            </w:r>
          </w:p>
          <w:p w:rsidR="0056724F" w:rsidRDefault="00477F21" w:rsidP="00287234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公司坚持自研代理并举的模式</w:t>
            </w:r>
            <w:r w:rsidR="00287234">
              <w:rPr>
                <w:rFonts w:ascii="宋体" w:hAnsi="宋体" w:hint="eastAsia"/>
                <w:szCs w:val="21"/>
              </w:rPr>
              <w:t>。在自研方面，公司储备多款在研产品包括《少年三国志2》，《山海镜花》，《少年三国志：零》，《盗墓笔记》等多款高品质产品，其中《少年三国志2》和《山海镜花》已开启测试，并得到市场及玩家的良好反馈。在代理方面，公司将参与Supercell旗下重磅大作《荒野乱斗》在国内的发行业务，下半年，公司还将继续在不同的国家区域上线多款</w:t>
            </w:r>
            <w:r w:rsidR="009F1E41">
              <w:rPr>
                <w:rFonts w:ascii="宋体" w:hAnsi="宋体" w:hint="eastAsia"/>
                <w:szCs w:val="21"/>
              </w:rPr>
              <w:t>国内大厂的精品游戏</w:t>
            </w:r>
            <w:r w:rsidR="00287234">
              <w:rPr>
                <w:rFonts w:ascii="宋体" w:hAnsi="宋体" w:hint="eastAsia"/>
                <w:szCs w:val="21"/>
              </w:rPr>
              <w:t>，包括《圣斗士星矢：觉醒》欧美及韩国，《</w:t>
            </w:r>
            <w:r w:rsidR="009F1E41">
              <w:rPr>
                <w:rFonts w:ascii="宋体" w:hAnsi="宋体" w:hint="eastAsia"/>
                <w:szCs w:val="21"/>
              </w:rPr>
              <w:t>神都夜行录</w:t>
            </w:r>
            <w:r w:rsidR="00287234">
              <w:rPr>
                <w:rFonts w:ascii="宋体" w:hAnsi="宋体" w:hint="eastAsia"/>
                <w:szCs w:val="21"/>
              </w:rPr>
              <w:t>》</w:t>
            </w:r>
            <w:r w:rsidR="009F1E41">
              <w:rPr>
                <w:rFonts w:ascii="宋体" w:hAnsi="宋体" w:hint="eastAsia"/>
                <w:szCs w:val="21"/>
              </w:rPr>
              <w:t>东南亚区域。</w:t>
            </w:r>
          </w:p>
          <w:p w:rsidR="0023238F" w:rsidRPr="00477F21" w:rsidRDefault="0023238F" w:rsidP="00287234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523B24" w:rsidRDefault="00523B24" w:rsidP="00523B2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主要交流问题如下：</w:t>
            </w:r>
          </w:p>
          <w:p w:rsidR="005E6324" w:rsidRPr="00822D63" w:rsidRDefault="005E6324" w:rsidP="005E6324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  <w:r w:rsidRPr="00822D63">
              <w:rPr>
                <w:rFonts w:ascii="宋体" w:hAnsi="宋体" w:hint="eastAsia"/>
              </w:rPr>
              <w:t>、问：</w:t>
            </w:r>
            <w:r>
              <w:rPr>
                <w:rFonts w:ascii="宋体" w:hAnsi="宋体" w:hint="eastAsia"/>
              </w:rPr>
              <w:t>《权游》近期排名上升，是什么原因？</w:t>
            </w:r>
          </w:p>
          <w:p w:rsidR="005E6324" w:rsidRPr="00822D63" w:rsidRDefault="005E6324" w:rsidP="005E6324">
            <w:pPr>
              <w:spacing w:line="360" w:lineRule="auto"/>
              <w:rPr>
                <w:rFonts w:ascii="宋体" w:hAnsi="宋体" w:hint="eastAsia"/>
              </w:rPr>
            </w:pPr>
            <w:r w:rsidRPr="00822D63">
              <w:rPr>
                <w:rFonts w:ascii="宋体" w:hAnsi="宋体" w:hint="eastAsia"/>
              </w:rPr>
              <w:t xml:space="preserve">答： </w:t>
            </w:r>
            <w:r>
              <w:rPr>
                <w:rFonts w:ascii="宋体" w:hAnsi="宋体" w:hint="eastAsia"/>
              </w:rPr>
              <w:t>《权游》近期排名提升是由于游戏内限定活动</w:t>
            </w:r>
            <w:r w:rsidR="001205D1">
              <w:rPr>
                <w:rFonts w:ascii="宋体" w:hAnsi="宋体" w:hint="eastAsia"/>
              </w:rPr>
              <w:t>拉升了玩家付费意愿。</w:t>
            </w:r>
            <w:r w:rsidR="007A0AAE">
              <w:rPr>
                <w:rFonts w:ascii="宋体" w:hAnsi="宋体" w:hint="eastAsia"/>
              </w:rPr>
              <w:t>我们本周将会有一个比较大的版本更新，在新版本中</w:t>
            </w:r>
            <w:r w:rsidR="0023238F">
              <w:rPr>
                <w:rFonts w:ascii="宋体" w:hAnsi="宋体" w:hint="eastAsia"/>
              </w:rPr>
              <w:t>新增了很多玩法及功能，也会增加一些游戏内的活动提升玩家的活跃度及游戏体验感。随着新版本的上线，也会有一些推广活动配合。而且SLG的游戏更侧重后期的运营，公司也会不断努力提升游戏的可玩性，将该款产品打造成为一个长生命周期产品。</w:t>
            </w:r>
          </w:p>
          <w:p w:rsidR="005E6324" w:rsidRPr="00822D63" w:rsidRDefault="005E6324" w:rsidP="005E6324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2</w:t>
            </w:r>
            <w:r w:rsidRPr="00822D63">
              <w:rPr>
                <w:rFonts w:ascii="宋体" w:hAnsi="宋体" w:hint="eastAsia"/>
              </w:rPr>
              <w:t>、问：</w:t>
            </w:r>
            <w:r w:rsidR="00DB08B3">
              <w:rPr>
                <w:rFonts w:ascii="宋体" w:hAnsi="宋体" w:hint="eastAsia"/>
              </w:rPr>
              <w:t>Q3同比大幅度的增长的原因</w:t>
            </w:r>
            <w:r w:rsidRPr="00822D63">
              <w:rPr>
                <w:rFonts w:ascii="宋体" w:hAnsi="宋体" w:hint="eastAsia"/>
                <w:szCs w:val="21"/>
              </w:rPr>
              <w:t>？</w:t>
            </w:r>
          </w:p>
          <w:p w:rsidR="00866470" w:rsidRDefault="005E6324" w:rsidP="005E6324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822D63">
              <w:rPr>
                <w:rFonts w:ascii="宋体" w:hAnsi="宋体" w:hint="eastAsia"/>
                <w:szCs w:val="21"/>
              </w:rPr>
              <w:t>答：</w:t>
            </w:r>
            <w:r w:rsidR="00DB08B3">
              <w:rPr>
                <w:rFonts w:ascii="宋体" w:hAnsi="宋体" w:hint="eastAsia"/>
                <w:szCs w:val="21"/>
              </w:rPr>
              <w:t>《权力的游戏凛冬将至》手游于7月10日由腾讯独家发行在国内上线，该游戏将贡献近3个月的流水及利润，这对公司将提供较大弹性的增长，另外公司在Q2上线的多款游戏如《权游》页游及《圣斗士星矢：觉醒》将在三季度慢慢释放利润，《权游》页游上线后多次获得Facebook的全球推荐，流水稳定提升，受到市场玩家的认可，《圣斗士星矢：觉醒》在中国香港、台湾地区上线后取得畅销榜前列的好</w:t>
            </w:r>
            <w:r w:rsidR="00DB08B3">
              <w:rPr>
                <w:rFonts w:ascii="宋体" w:hAnsi="宋体" w:hint="eastAsia"/>
                <w:szCs w:val="21"/>
              </w:rPr>
              <w:lastRenderedPageBreak/>
              <w:t>成绩。公司长线运营的长生命周期游戏《少年三国志》、《三十六计》、《少年西游记》、《女神联盟》等表现良好，为公司提供稳定的利润基础。</w:t>
            </w:r>
          </w:p>
          <w:p w:rsidR="005E6324" w:rsidRDefault="005E6324" w:rsidP="005E6324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3、问：</w:t>
            </w:r>
            <w:r w:rsidR="005019DB">
              <w:rPr>
                <w:rFonts w:ascii="宋体" w:hAnsi="宋体" w:hint="eastAsia"/>
                <w:szCs w:val="21"/>
              </w:rPr>
              <w:t>后续产品的版号情况？</w:t>
            </w:r>
          </w:p>
          <w:p w:rsidR="005019DB" w:rsidRDefault="005019DB" w:rsidP="005E6324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答：现在版号已经恢复正常的审核了，最近几个月都有新的版号发放。公司后续的产品的版号审核流程都在正常推进，公司有信心将会如期推出产品上线，做好相应的统筹工作。</w:t>
            </w:r>
          </w:p>
          <w:p w:rsidR="000050FB" w:rsidRDefault="000050FB" w:rsidP="005E6324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4、问：报表中，交易性金融资产增加比较多，是什么原因？</w:t>
            </w:r>
          </w:p>
          <w:p w:rsidR="000050FB" w:rsidRDefault="000050FB" w:rsidP="005E6324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答：会计准则的变化，财政部对会计科目的调整。</w:t>
            </w:r>
          </w:p>
          <w:p w:rsidR="000050FB" w:rsidRDefault="000050FB" w:rsidP="005E6324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5、问：未来投资收益的预期？</w:t>
            </w:r>
          </w:p>
          <w:p w:rsidR="000050FB" w:rsidRPr="000050FB" w:rsidRDefault="000050FB" w:rsidP="005E6324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</w:t>
            </w:r>
            <w:r w:rsidR="00D350DE">
              <w:rPr>
                <w:rFonts w:ascii="宋体" w:hAnsi="宋体" w:hint="eastAsia"/>
                <w:szCs w:val="21"/>
              </w:rPr>
              <w:t>之前有较多的股权投资，后期公司将根据项目的发展情况在</w:t>
            </w:r>
            <w:r w:rsidR="009E14CC">
              <w:rPr>
                <w:rFonts w:ascii="宋体" w:hAnsi="宋体" w:hint="eastAsia"/>
                <w:szCs w:val="21"/>
              </w:rPr>
              <w:t>合适的时机以合适的价格进行出让，投资收益还得根据项目退出</w:t>
            </w:r>
            <w:r w:rsidR="00D350DE">
              <w:rPr>
                <w:rFonts w:ascii="宋体" w:hAnsi="宋体" w:hint="eastAsia"/>
                <w:szCs w:val="21"/>
              </w:rPr>
              <w:t>的实际情况而定。</w:t>
            </w:r>
          </w:p>
          <w:p w:rsidR="005E6324" w:rsidRPr="000050FB" w:rsidRDefault="005E6324" w:rsidP="005E6324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B1717" w:rsidTr="007728F5">
        <w:tc>
          <w:tcPr>
            <w:tcW w:w="1908" w:type="dxa"/>
            <w:vAlign w:val="center"/>
          </w:tcPr>
          <w:p w:rsidR="00FB1717" w:rsidRDefault="00FB1717">
            <w:pPr>
              <w:spacing w:line="480" w:lineRule="atLeas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564" w:type="dxa"/>
          </w:tcPr>
          <w:p w:rsidR="00FB1717" w:rsidRDefault="00FB1717">
            <w:pPr>
              <w:spacing w:line="480" w:lineRule="atLeast"/>
              <w:rPr>
                <w:rFonts w:hAnsi="宋体"/>
                <w:sz w:val="24"/>
                <w:szCs w:val="24"/>
              </w:rPr>
            </w:pPr>
          </w:p>
        </w:tc>
      </w:tr>
      <w:tr w:rsidR="00FB1717" w:rsidTr="007728F5">
        <w:tc>
          <w:tcPr>
            <w:tcW w:w="1908" w:type="dxa"/>
            <w:vAlign w:val="center"/>
          </w:tcPr>
          <w:p w:rsidR="00FB1717" w:rsidRDefault="00FB1717">
            <w:pPr>
              <w:spacing w:line="480" w:lineRule="atLeas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日期</w:t>
            </w:r>
          </w:p>
        </w:tc>
        <w:tc>
          <w:tcPr>
            <w:tcW w:w="6564" w:type="dxa"/>
          </w:tcPr>
          <w:p w:rsidR="00FB1717" w:rsidRDefault="00A6118E" w:rsidP="00F74A3B">
            <w:pPr>
              <w:spacing w:line="480" w:lineRule="atLeast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201</w:t>
            </w:r>
            <w:r>
              <w:rPr>
                <w:rFonts w:hAnsi="宋体" w:hint="eastAsia"/>
                <w:sz w:val="24"/>
                <w:szCs w:val="24"/>
              </w:rPr>
              <w:t>9</w:t>
            </w:r>
            <w:r w:rsidR="00FB1717">
              <w:rPr>
                <w:rFonts w:hAnsi="宋体"/>
                <w:sz w:val="24"/>
                <w:szCs w:val="24"/>
              </w:rPr>
              <w:t>年</w:t>
            </w:r>
            <w:r w:rsidR="00183E70">
              <w:rPr>
                <w:rFonts w:hAnsi="宋体" w:hint="eastAsia"/>
                <w:sz w:val="24"/>
                <w:szCs w:val="24"/>
              </w:rPr>
              <w:t>9</w:t>
            </w:r>
            <w:r w:rsidR="00FB1717">
              <w:rPr>
                <w:rFonts w:hAnsi="宋体"/>
                <w:sz w:val="24"/>
                <w:szCs w:val="24"/>
              </w:rPr>
              <w:t>月</w:t>
            </w:r>
            <w:r w:rsidR="00F74A3B">
              <w:rPr>
                <w:rFonts w:hAnsi="宋体" w:hint="eastAsia"/>
                <w:sz w:val="24"/>
                <w:szCs w:val="24"/>
              </w:rPr>
              <w:t>3</w:t>
            </w:r>
            <w:r w:rsidR="00FB1717">
              <w:rPr>
                <w:rFonts w:hAnsi="宋体"/>
                <w:sz w:val="24"/>
                <w:szCs w:val="24"/>
              </w:rPr>
              <w:t>日</w:t>
            </w:r>
          </w:p>
        </w:tc>
      </w:tr>
    </w:tbl>
    <w:p w:rsidR="00FB1717" w:rsidRDefault="00FB1717">
      <w:pPr>
        <w:rPr>
          <w:rFonts w:hAnsi="宋体"/>
          <w:sz w:val="24"/>
          <w:szCs w:val="24"/>
        </w:rPr>
      </w:pPr>
    </w:p>
    <w:sectPr w:rsidR="00FB1717" w:rsidSect="008F70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60" w:rsidRDefault="00BA5E60" w:rsidP="00FA2BE7">
      <w:r>
        <w:separator/>
      </w:r>
    </w:p>
  </w:endnote>
  <w:endnote w:type="continuationSeparator" w:id="0">
    <w:p w:rsidR="00BA5E60" w:rsidRDefault="00BA5E60" w:rsidP="00FA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60" w:rsidRDefault="00BA5E60" w:rsidP="00FA2BE7">
      <w:r>
        <w:separator/>
      </w:r>
    </w:p>
  </w:footnote>
  <w:footnote w:type="continuationSeparator" w:id="0">
    <w:p w:rsidR="00BA5E60" w:rsidRDefault="00BA5E60" w:rsidP="00FA2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7639"/>
    <w:multiLevelType w:val="hybridMultilevel"/>
    <w:tmpl w:val="23886D1E"/>
    <w:lvl w:ilvl="0" w:tplc="4FDC269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C2"/>
    <w:rsid w:val="00004AAB"/>
    <w:rsid w:val="000050FB"/>
    <w:rsid w:val="00026154"/>
    <w:rsid w:val="0003065F"/>
    <w:rsid w:val="00034C3A"/>
    <w:rsid w:val="00047D68"/>
    <w:rsid w:val="0005065F"/>
    <w:rsid w:val="00051E83"/>
    <w:rsid w:val="00086A94"/>
    <w:rsid w:val="000A1FBC"/>
    <w:rsid w:val="000B15FE"/>
    <w:rsid w:val="000B6377"/>
    <w:rsid w:val="000C0A18"/>
    <w:rsid w:val="000C2768"/>
    <w:rsid w:val="000E05B8"/>
    <w:rsid w:val="000F567D"/>
    <w:rsid w:val="0010676E"/>
    <w:rsid w:val="00117D0C"/>
    <w:rsid w:val="001205D1"/>
    <w:rsid w:val="0013266D"/>
    <w:rsid w:val="00145B9F"/>
    <w:rsid w:val="00153E3C"/>
    <w:rsid w:val="00172A27"/>
    <w:rsid w:val="001732B2"/>
    <w:rsid w:val="00180859"/>
    <w:rsid w:val="00180E53"/>
    <w:rsid w:val="00182A9F"/>
    <w:rsid w:val="00183E70"/>
    <w:rsid w:val="001900B1"/>
    <w:rsid w:val="001926D9"/>
    <w:rsid w:val="001A0333"/>
    <w:rsid w:val="001C062F"/>
    <w:rsid w:val="001D2167"/>
    <w:rsid w:val="001E433F"/>
    <w:rsid w:val="00212955"/>
    <w:rsid w:val="002134A6"/>
    <w:rsid w:val="00224221"/>
    <w:rsid w:val="00227264"/>
    <w:rsid w:val="0023238F"/>
    <w:rsid w:val="00234781"/>
    <w:rsid w:val="0024201A"/>
    <w:rsid w:val="002629DD"/>
    <w:rsid w:val="0026672E"/>
    <w:rsid w:val="002748E5"/>
    <w:rsid w:val="0027576D"/>
    <w:rsid w:val="00275B22"/>
    <w:rsid w:val="00276D68"/>
    <w:rsid w:val="002826B4"/>
    <w:rsid w:val="00287234"/>
    <w:rsid w:val="00294EDD"/>
    <w:rsid w:val="002E2279"/>
    <w:rsid w:val="002F21FE"/>
    <w:rsid w:val="00302775"/>
    <w:rsid w:val="0031004B"/>
    <w:rsid w:val="0031250A"/>
    <w:rsid w:val="00332892"/>
    <w:rsid w:val="00352601"/>
    <w:rsid w:val="003811B9"/>
    <w:rsid w:val="003870F2"/>
    <w:rsid w:val="00396682"/>
    <w:rsid w:val="003A3437"/>
    <w:rsid w:val="003A458E"/>
    <w:rsid w:val="003A5B2F"/>
    <w:rsid w:val="003A5DA6"/>
    <w:rsid w:val="003B3AB1"/>
    <w:rsid w:val="003B60EE"/>
    <w:rsid w:val="003B6D8C"/>
    <w:rsid w:val="003D4DBF"/>
    <w:rsid w:val="003E16D9"/>
    <w:rsid w:val="003F4BFA"/>
    <w:rsid w:val="003F576D"/>
    <w:rsid w:val="00431BBA"/>
    <w:rsid w:val="0044640D"/>
    <w:rsid w:val="0045672F"/>
    <w:rsid w:val="00465280"/>
    <w:rsid w:val="004769A8"/>
    <w:rsid w:val="00477F21"/>
    <w:rsid w:val="00490E5F"/>
    <w:rsid w:val="004A33D8"/>
    <w:rsid w:val="004B0354"/>
    <w:rsid w:val="004C6D2B"/>
    <w:rsid w:val="004D298C"/>
    <w:rsid w:val="004E3123"/>
    <w:rsid w:val="004F1818"/>
    <w:rsid w:val="005019DB"/>
    <w:rsid w:val="00512588"/>
    <w:rsid w:val="00514F66"/>
    <w:rsid w:val="005236A7"/>
    <w:rsid w:val="00523B24"/>
    <w:rsid w:val="005462D2"/>
    <w:rsid w:val="00556C32"/>
    <w:rsid w:val="005575A4"/>
    <w:rsid w:val="0056724F"/>
    <w:rsid w:val="0056782C"/>
    <w:rsid w:val="00583F13"/>
    <w:rsid w:val="00584BAF"/>
    <w:rsid w:val="0058778F"/>
    <w:rsid w:val="00592AED"/>
    <w:rsid w:val="005C486B"/>
    <w:rsid w:val="005C6DC6"/>
    <w:rsid w:val="005D0FA8"/>
    <w:rsid w:val="005E597B"/>
    <w:rsid w:val="005E6324"/>
    <w:rsid w:val="00602C4B"/>
    <w:rsid w:val="00610C08"/>
    <w:rsid w:val="00611F53"/>
    <w:rsid w:val="006147E7"/>
    <w:rsid w:val="00623724"/>
    <w:rsid w:val="00633F2E"/>
    <w:rsid w:val="00644DB4"/>
    <w:rsid w:val="00652E9D"/>
    <w:rsid w:val="006576C5"/>
    <w:rsid w:val="00674EE8"/>
    <w:rsid w:val="00691D5E"/>
    <w:rsid w:val="00697EEE"/>
    <w:rsid w:val="006A4BF0"/>
    <w:rsid w:val="006E2B2F"/>
    <w:rsid w:val="006F1D62"/>
    <w:rsid w:val="007018D9"/>
    <w:rsid w:val="00706CE1"/>
    <w:rsid w:val="00713ED7"/>
    <w:rsid w:val="00714497"/>
    <w:rsid w:val="00734B11"/>
    <w:rsid w:val="00737E04"/>
    <w:rsid w:val="00753EAC"/>
    <w:rsid w:val="00756431"/>
    <w:rsid w:val="00756927"/>
    <w:rsid w:val="00771541"/>
    <w:rsid w:val="007728F5"/>
    <w:rsid w:val="00777CB3"/>
    <w:rsid w:val="00777F9D"/>
    <w:rsid w:val="00795C08"/>
    <w:rsid w:val="007A0AAE"/>
    <w:rsid w:val="007A0E2E"/>
    <w:rsid w:val="007A2BD7"/>
    <w:rsid w:val="007A77A5"/>
    <w:rsid w:val="007B37D3"/>
    <w:rsid w:val="007B3EAE"/>
    <w:rsid w:val="007B5863"/>
    <w:rsid w:val="007B6482"/>
    <w:rsid w:val="007C0831"/>
    <w:rsid w:val="007C7FF1"/>
    <w:rsid w:val="007D4CC8"/>
    <w:rsid w:val="007D628E"/>
    <w:rsid w:val="007F16BE"/>
    <w:rsid w:val="007F67C4"/>
    <w:rsid w:val="00814BA0"/>
    <w:rsid w:val="00822D63"/>
    <w:rsid w:val="00825A90"/>
    <w:rsid w:val="008428D2"/>
    <w:rsid w:val="00845863"/>
    <w:rsid w:val="00860674"/>
    <w:rsid w:val="00862054"/>
    <w:rsid w:val="00864282"/>
    <w:rsid w:val="00865F45"/>
    <w:rsid w:val="00866470"/>
    <w:rsid w:val="00872803"/>
    <w:rsid w:val="00875FF1"/>
    <w:rsid w:val="00887627"/>
    <w:rsid w:val="008929B1"/>
    <w:rsid w:val="00892D7C"/>
    <w:rsid w:val="00897FBC"/>
    <w:rsid w:val="008B56B0"/>
    <w:rsid w:val="008C4EA5"/>
    <w:rsid w:val="008C5FAC"/>
    <w:rsid w:val="008F1A40"/>
    <w:rsid w:val="008F7060"/>
    <w:rsid w:val="009051ED"/>
    <w:rsid w:val="00907263"/>
    <w:rsid w:val="00910E2C"/>
    <w:rsid w:val="00933A81"/>
    <w:rsid w:val="0095447E"/>
    <w:rsid w:val="00955A87"/>
    <w:rsid w:val="00961B93"/>
    <w:rsid w:val="00977D87"/>
    <w:rsid w:val="009A6A35"/>
    <w:rsid w:val="009B431F"/>
    <w:rsid w:val="009B5627"/>
    <w:rsid w:val="009B5955"/>
    <w:rsid w:val="009C2844"/>
    <w:rsid w:val="009D52EA"/>
    <w:rsid w:val="009E14CC"/>
    <w:rsid w:val="009F1E41"/>
    <w:rsid w:val="00A03DB8"/>
    <w:rsid w:val="00A0779D"/>
    <w:rsid w:val="00A12E1B"/>
    <w:rsid w:val="00A24F7E"/>
    <w:rsid w:val="00A254EC"/>
    <w:rsid w:val="00A30927"/>
    <w:rsid w:val="00A40A9D"/>
    <w:rsid w:val="00A51C51"/>
    <w:rsid w:val="00A6118E"/>
    <w:rsid w:val="00A638EF"/>
    <w:rsid w:val="00A93114"/>
    <w:rsid w:val="00AA7031"/>
    <w:rsid w:val="00AB5A91"/>
    <w:rsid w:val="00AB644F"/>
    <w:rsid w:val="00AE21BE"/>
    <w:rsid w:val="00B01A81"/>
    <w:rsid w:val="00B1351C"/>
    <w:rsid w:val="00B33E53"/>
    <w:rsid w:val="00B35DBF"/>
    <w:rsid w:val="00B37D51"/>
    <w:rsid w:val="00B538C0"/>
    <w:rsid w:val="00B6248D"/>
    <w:rsid w:val="00B6412A"/>
    <w:rsid w:val="00B7544B"/>
    <w:rsid w:val="00B96AB1"/>
    <w:rsid w:val="00BA5E60"/>
    <w:rsid w:val="00BE56B0"/>
    <w:rsid w:val="00BF1A1D"/>
    <w:rsid w:val="00BF69E2"/>
    <w:rsid w:val="00C14FA7"/>
    <w:rsid w:val="00C4057A"/>
    <w:rsid w:val="00C4557E"/>
    <w:rsid w:val="00C4644F"/>
    <w:rsid w:val="00C52E28"/>
    <w:rsid w:val="00C63374"/>
    <w:rsid w:val="00C75B1C"/>
    <w:rsid w:val="00C81967"/>
    <w:rsid w:val="00C826AE"/>
    <w:rsid w:val="00C82D8F"/>
    <w:rsid w:val="00CA7818"/>
    <w:rsid w:val="00CD2648"/>
    <w:rsid w:val="00CE72BE"/>
    <w:rsid w:val="00D00FB7"/>
    <w:rsid w:val="00D01ED4"/>
    <w:rsid w:val="00D04071"/>
    <w:rsid w:val="00D05F45"/>
    <w:rsid w:val="00D1547B"/>
    <w:rsid w:val="00D205A4"/>
    <w:rsid w:val="00D350DE"/>
    <w:rsid w:val="00D42DF2"/>
    <w:rsid w:val="00D45F34"/>
    <w:rsid w:val="00D54C35"/>
    <w:rsid w:val="00D60E17"/>
    <w:rsid w:val="00D61FFA"/>
    <w:rsid w:val="00D73A77"/>
    <w:rsid w:val="00D73BBA"/>
    <w:rsid w:val="00D83928"/>
    <w:rsid w:val="00D8473F"/>
    <w:rsid w:val="00D874F8"/>
    <w:rsid w:val="00D90585"/>
    <w:rsid w:val="00D9300D"/>
    <w:rsid w:val="00DB08B3"/>
    <w:rsid w:val="00DB6FEC"/>
    <w:rsid w:val="00DC16A5"/>
    <w:rsid w:val="00DD77C1"/>
    <w:rsid w:val="00DE72F8"/>
    <w:rsid w:val="00E064CB"/>
    <w:rsid w:val="00E06FD1"/>
    <w:rsid w:val="00E1152B"/>
    <w:rsid w:val="00E40F0D"/>
    <w:rsid w:val="00E56A43"/>
    <w:rsid w:val="00E741D1"/>
    <w:rsid w:val="00EA2479"/>
    <w:rsid w:val="00EA3B73"/>
    <w:rsid w:val="00EB22EB"/>
    <w:rsid w:val="00ED081C"/>
    <w:rsid w:val="00ED0979"/>
    <w:rsid w:val="00ED12E8"/>
    <w:rsid w:val="00ED536A"/>
    <w:rsid w:val="00F04D74"/>
    <w:rsid w:val="00F16DBF"/>
    <w:rsid w:val="00F34143"/>
    <w:rsid w:val="00F40E3D"/>
    <w:rsid w:val="00F65E60"/>
    <w:rsid w:val="00F6697E"/>
    <w:rsid w:val="00F7385E"/>
    <w:rsid w:val="00F74A3B"/>
    <w:rsid w:val="00F74FDE"/>
    <w:rsid w:val="00F80209"/>
    <w:rsid w:val="00F84982"/>
    <w:rsid w:val="00F87408"/>
    <w:rsid w:val="00FA2BE7"/>
    <w:rsid w:val="00FB1717"/>
    <w:rsid w:val="00FB317A"/>
    <w:rsid w:val="00FB609E"/>
    <w:rsid w:val="00FE430A"/>
    <w:rsid w:val="00FE6C68"/>
    <w:rsid w:val="056E1B3B"/>
    <w:rsid w:val="05D73BC3"/>
    <w:rsid w:val="07696B01"/>
    <w:rsid w:val="0E625030"/>
    <w:rsid w:val="174B0797"/>
    <w:rsid w:val="1BC5262F"/>
    <w:rsid w:val="1CED5822"/>
    <w:rsid w:val="20483618"/>
    <w:rsid w:val="22E979A2"/>
    <w:rsid w:val="2B082A6E"/>
    <w:rsid w:val="2F2D7052"/>
    <w:rsid w:val="32737876"/>
    <w:rsid w:val="32DE084D"/>
    <w:rsid w:val="362D0432"/>
    <w:rsid w:val="394B2E3B"/>
    <w:rsid w:val="3BE962BB"/>
    <w:rsid w:val="457F627E"/>
    <w:rsid w:val="4C81696A"/>
    <w:rsid w:val="4F8F4AE9"/>
    <w:rsid w:val="53C832B1"/>
    <w:rsid w:val="55B04CC6"/>
    <w:rsid w:val="5DBE6F2E"/>
    <w:rsid w:val="688742E7"/>
    <w:rsid w:val="6A814540"/>
    <w:rsid w:val="6A887519"/>
    <w:rsid w:val="6EAA270E"/>
    <w:rsid w:val="6F933815"/>
    <w:rsid w:val="747D53F8"/>
    <w:rsid w:val="787D29E2"/>
    <w:rsid w:val="78E24D34"/>
    <w:rsid w:val="790C1943"/>
    <w:rsid w:val="791E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F7060"/>
    <w:rPr>
      <w:i/>
      <w:iCs/>
    </w:rPr>
  </w:style>
  <w:style w:type="character" w:styleId="a4">
    <w:name w:val="page number"/>
    <w:basedOn w:val="a0"/>
    <w:uiPriority w:val="99"/>
    <w:unhideWhenUsed/>
    <w:rsid w:val="008F7060"/>
  </w:style>
  <w:style w:type="character" w:customStyle="1" w:styleId="Char">
    <w:name w:val="页眉 Char"/>
    <w:link w:val="a5"/>
    <w:rsid w:val="008F7060"/>
    <w:rPr>
      <w:kern w:val="2"/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F7060"/>
    <w:rPr>
      <w:kern w:val="2"/>
      <w:sz w:val="18"/>
      <w:szCs w:val="18"/>
    </w:rPr>
  </w:style>
  <w:style w:type="paragraph" w:styleId="a7">
    <w:name w:val="footer"/>
    <w:basedOn w:val="a"/>
    <w:unhideWhenUsed/>
    <w:rsid w:val="008F7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nhideWhenUsed/>
    <w:rsid w:val="008F7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0"/>
    <w:uiPriority w:val="99"/>
    <w:unhideWhenUsed/>
    <w:rsid w:val="008F7060"/>
    <w:rPr>
      <w:sz w:val="18"/>
      <w:szCs w:val="18"/>
    </w:rPr>
  </w:style>
  <w:style w:type="paragraph" w:customStyle="1" w:styleId="a8">
    <w:name w:val="招股说明书正文"/>
    <w:basedOn w:val="a"/>
    <w:qFormat/>
    <w:rsid w:val="008F7060"/>
    <w:pPr>
      <w:spacing w:line="360" w:lineRule="auto"/>
      <w:ind w:firstLineChars="200" w:firstLine="480"/>
    </w:pPr>
    <w:rPr>
      <w:rFonts w:ascii="宋体" w:hAnsi="宋体" w:cs="宋体"/>
      <w:sz w:val="24"/>
    </w:rPr>
  </w:style>
  <w:style w:type="paragraph" w:customStyle="1" w:styleId="Default">
    <w:name w:val="Default"/>
    <w:uiPriority w:val="99"/>
    <w:unhideWhenUsed/>
    <w:rsid w:val="008F7060"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A2915-16FC-4A33-857B-4095D4FF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281</Words>
  <Characters>1608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徐青峰(徐小疯)</cp:lastModifiedBy>
  <cp:revision>22</cp:revision>
  <cp:lastPrinted>2018-11-01T07:19:00Z</cp:lastPrinted>
  <dcterms:created xsi:type="dcterms:W3CDTF">2019-09-04T05:46:00Z</dcterms:created>
  <dcterms:modified xsi:type="dcterms:W3CDTF">2019-09-04T12:52:00Z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