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3E" w:rsidRDefault="0040033E" w:rsidP="00A602A4">
      <w:pPr>
        <w:spacing w:beforeLines="50" w:afterLines="50" w:line="400" w:lineRule="exact"/>
        <w:jc w:val="center"/>
        <w:rPr>
          <w:rFonts w:ascii="黑体" w:eastAsia="黑体" w:hAnsi="黑体"/>
          <w:bCs/>
          <w:iCs/>
          <w:color w:val="000000"/>
          <w:sz w:val="30"/>
        </w:rPr>
      </w:pPr>
      <w:r>
        <w:rPr>
          <w:rFonts w:ascii="黑体" w:eastAsia="黑体" w:hAnsi="黑体" w:hint="eastAsia"/>
          <w:bCs/>
          <w:iCs/>
          <w:color w:val="000000"/>
          <w:sz w:val="30"/>
        </w:rPr>
        <w:t>证券代码：002140                      证券简称：东华科技</w:t>
      </w:r>
    </w:p>
    <w:p w:rsidR="0040033E" w:rsidRDefault="0040033E" w:rsidP="0040033E">
      <w:pPr>
        <w:snapToGrid w:val="0"/>
        <w:spacing w:line="240" w:lineRule="exact"/>
        <w:jc w:val="center"/>
        <w:rPr>
          <w:rFonts w:ascii="宋体" w:hAnsi="宋体"/>
          <w:b/>
          <w:bCs/>
          <w:iCs/>
          <w:color w:val="000000"/>
          <w:sz w:val="18"/>
          <w:szCs w:val="32"/>
        </w:rPr>
      </w:pPr>
    </w:p>
    <w:p w:rsidR="0040033E" w:rsidRDefault="0040033E" w:rsidP="00A602A4">
      <w:pPr>
        <w:spacing w:beforeLines="50" w:afterLines="50" w:line="400" w:lineRule="exact"/>
        <w:jc w:val="center"/>
        <w:rPr>
          <w:rFonts w:ascii="宋体" w:hAnsi="宋体"/>
          <w:iCs/>
          <w:color w:val="000000"/>
          <w:sz w:val="36"/>
          <w:szCs w:val="32"/>
        </w:rPr>
      </w:pPr>
      <w:r>
        <w:rPr>
          <w:rFonts w:ascii="宋体" w:hAnsi="宋体" w:hint="eastAsia"/>
          <w:iCs/>
          <w:color w:val="000000"/>
          <w:sz w:val="36"/>
          <w:szCs w:val="32"/>
        </w:rPr>
        <w:t>东华工程科技股份有限公司投资者关系活动记录表</w:t>
      </w:r>
    </w:p>
    <w:p w:rsidR="0040033E" w:rsidRDefault="0040033E" w:rsidP="0040033E">
      <w:pPr>
        <w:rPr>
          <w:rFonts w:ascii="宋体" w:hAnsi="宋体"/>
          <w:bCs/>
          <w:iCs/>
          <w:color w:val="000000"/>
          <w:sz w:val="28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</w:t>
      </w:r>
      <w:r>
        <w:rPr>
          <w:rFonts w:ascii="仿宋_GB2312" w:eastAsia="仿宋_GB2312" w:hAnsi="仿宋_GB2312" w:hint="eastAsia"/>
          <w:bCs/>
          <w:iCs/>
          <w:color w:val="000000"/>
          <w:sz w:val="28"/>
        </w:rPr>
        <w:t xml:space="preserve"> 编号</w:t>
      </w:r>
      <w:r w:rsidR="00295034">
        <w:rPr>
          <w:rFonts w:ascii="仿宋_GB2312" w:eastAsia="仿宋_GB2312" w:hAnsi="仿宋_GB2312" w:hint="eastAsia"/>
          <w:bCs/>
          <w:iCs/>
          <w:color w:val="000000"/>
          <w:sz w:val="28"/>
        </w:rPr>
        <w:t>：</w:t>
      </w:r>
      <w:r w:rsidRPr="00D05323">
        <w:rPr>
          <w:rFonts w:ascii="宋体" w:hAnsi="宋体" w:hint="eastAsia"/>
          <w:bCs/>
          <w:iCs/>
          <w:color w:val="000000"/>
          <w:sz w:val="28"/>
        </w:rPr>
        <w:t>201</w:t>
      </w:r>
      <w:r>
        <w:rPr>
          <w:rFonts w:ascii="宋体" w:hAnsi="宋体" w:hint="eastAsia"/>
          <w:bCs/>
          <w:iCs/>
          <w:color w:val="000000"/>
          <w:sz w:val="28"/>
        </w:rPr>
        <w:t>9</w:t>
      </w:r>
      <w:r w:rsidRPr="00D05323">
        <w:rPr>
          <w:rFonts w:ascii="宋体" w:hAnsi="宋体" w:hint="eastAsia"/>
          <w:bCs/>
          <w:iCs/>
          <w:color w:val="000000"/>
          <w:sz w:val="28"/>
        </w:rPr>
        <w:t>-0</w:t>
      </w:r>
      <w:r>
        <w:rPr>
          <w:rFonts w:ascii="宋体" w:hAnsi="宋体" w:hint="eastAsia"/>
          <w:bCs/>
          <w:iCs/>
          <w:color w:val="000000"/>
          <w:sz w:val="28"/>
        </w:rPr>
        <w:t>0</w:t>
      </w:r>
      <w:r w:rsidR="00E872E2">
        <w:rPr>
          <w:rFonts w:ascii="宋体" w:hAnsi="宋体" w:hint="eastAsia"/>
          <w:bCs/>
          <w:iCs/>
          <w:color w:val="000000"/>
          <w:sz w:val="28"/>
        </w:rPr>
        <w:t>2</w:t>
      </w:r>
    </w:p>
    <w:p w:rsidR="0040033E" w:rsidRDefault="0040033E" w:rsidP="0040033E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088"/>
      </w:tblGrid>
      <w:tr w:rsidR="00350861" w:rsidRPr="0090720F" w:rsidTr="00E872E2">
        <w:trPr>
          <w:trHeight w:val="1927"/>
        </w:trPr>
        <w:tc>
          <w:tcPr>
            <w:tcW w:w="1985" w:type="dxa"/>
            <w:vAlign w:val="center"/>
          </w:tcPr>
          <w:p w:rsidR="0040033E" w:rsidRDefault="00350861" w:rsidP="0040033E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350861" w:rsidRPr="0090720F" w:rsidRDefault="00350861" w:rsidP="0040033E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7088" w:type="dxa"/>
          </w:tcPr>
          <w:p w:rsidR="00350861" w:rsidRPr="0061142E" w:rsidRDefault="00E872E2" w:rsidP="0040033E">
            <w:pPr>
              <w:snapToGrid w:val="0"/>
              <w:spacing w:line="300" w:lineRule="auto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="00350861" w:rsidRPr="006114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350861"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350861" w:rsidRPr="0061142E">
              <w:rPr>
                <w:rFonts w:ascii="宋体" w:hAnsi="宋体" w:hint="eastAsia"/>
                <w:sz w:val="24"/>
              </w:rPr>
              <w:t>分析师会议</w:t>
            </w:r>
          </w:p>
          <w:p w:rsidR="00350861" w:rsidRPr="0061142E" w:rsidRDefault="00350861" w:rsidP="0040033E">
            <w:pPr>
              <w:snapToGrid w:val="0"/>
              <w:spacing w:line="300" w:lineRule="auto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业绩说明会</w:t>
            </w:r>
          </w:p>
          <w:p w:rsidR="00350861" w:rsidRPr="0061142E" w:rsidRDefault="00350861" w:rsidP="0040033E">
            <w:pPr>
              <w:snapToGrid w:val="0"/>
              <w:spacing w:line="300" w:lineRule="auto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路演活动</w:t>
            </w:r>
          </w:p>
          <w:p w:rsidR="00350861" w:rsidRPr="0061142E" w:rsidRDefault="00350861" w:rsidP="0040033E">
            <w:pPr>
              <w:tabs>
                <w:tab w:val="left" w:pos="3045"/>
                <w:tab w:val="center" w:pos="3199"/>
              </w:tabs>
              <w:snapToGrid w:val="0"/>
              <w:spacing w:line="300" w:lineRule="auto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现场参观</w:t>
            </w:r>
            <w:r w:rsidRPr="0061142E">
              <w:rPr>
                <w:rFonts w:ascii="宋体" w:hAnsi="宋体"/>
                <w:bCs/>
                <w:iCs/>
                <w:sz w:val="24"/>
              </w:rPr>
              <w:tab/>
            </w:r>
          </w:p>
          <w:p w:rsidR="00350861" w:rsidRPr="0090720F" w:rsidRDefault="00E872E2" w:rsidP="00E872E2">
            <w:pPr>
              <w:tabs>
                <w:tab w:val="center" w:pos="3199"/>
              </w:tabs>
              <w:snapToGrid w:val="0"/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350861" w:rsidRPr="0061142E"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350861" w:rsidRPr="0090720F" w:rsidTr="002C43A5">
        <w:trPr>
          <w:trHeight w:val="1113"/>
        </w:trPr>
        <w:tc>
          <w:tcPr>
            <w:tcW w:w="1985" w:type="dxa"/>
            <w:vAlign w:val="center"/>
          </w:tcPr>
          <w:p w:rsidR="0040033E" w:rsidRDefault="00350861" w:rsidP="0040033E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  <w:p w:rsidR="00350861" w:rsidRPr="0090720F" w:rsidRDefault="00350861" w:rsidP="0040033E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7088" w:type="dxa"/>
            <w:vAlign w:val="center"/>
          </w:tcPr>
          <w:p w:rsidR="00350861" w:rsidRDefault="00E872E2" w:rsidP="002C43A5">
            <w:pPr>
              <w:snapToGrid w:val="0"/>
              <w:spacing w:line="300" w:lineRule="auto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海通证券股份有限公司</w:t>
            </w:r>
            <w:r w:rsidR="00A602A4">
              <w:rPr>
                <w:rFonts w:ascii="宋体" w:hAnsi="宋体" w:hint="eastAsia"/>
                <w:bCs/>
                <w:iCs/>
                <w:sz w:val="24"/>
              </w:rPr>
              <w:t>李富华、</w:t>
            </w:r>
            <w:r>
              <w:rPr>
                <w:rFonts w:ascii="宋体" w:hAnsi="宋体" w:hint="eastAsia"/>
                <w:bCs/>
                <w:iCs/>
                <w:sz w:val="24"/>
              </w:rPr>
              <w:t>张欣劼</w:t>
            </w:r>
          </w:p>
          <w:p w:rsidR="00E872E2" w:rsidRPr="00E872E2" w:rsidRDefault="00E872E2" w:rsidP="00A602A4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华泰证券</w:t>
            </w:r>
            <w:r w:rsidR="00AA6C46">
              <w:rPr>
                <w:rFonts w:ascii="宋体" w:hAnsi="宋体" w:hint="eastAsia"/>
                <w:bCs/>
                <w:iCs/>
                <w:sz w:val="24"/>
              </w:rPr>
              <w:t>股份有限公司</w:t>
            </w:r>
            <w:r w:rsidR="00A602A4">
              <w:rPr>
                <w:rFonts w:ascii="宋体" w:hAnsi="宋体" w:hint="eastAsia"/>
                <w:bCs/>
                <w:iCs/>
                <w:sz w:val="24"/>
              </w:rPr>
              <w:t>鲍荣富、</w:t>
            </w:r>
            <w:r w:rsidR="00AA6C46">
              <w:rPr>
                <w:rFonts w:ascii="宋体" w:hAnsi="宋体" w:hint="eastAsia"/>
                <w:bCs/>
                <w:iCs/>
                <w:sz w:val="24"/>
              </w:rPr>
              <w:t>王涛</w:t>
            </w:r>
          </w:p>
        </w:tc>
      </w:tr>
      <w:tr w:rsidR="00350861" w:rsidRPr="0090720F" w:rsidTr="00402AD4">
        <w:tc>
          <w:tcPr>
            <w:tcW w:w="1985" w:type="dxa"/>
            <w:vAlign w:val="center"/>
          </w:tcPr>
          <w:p w:rsidR="00350861" w:rsidRPr="0090720F" w:rsidRDefault="00350861" w:rsidP="0040033E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88" w:type="dxa"/>
            <w:vAlign w:val="center"/>
          </w:tcPr>
          <w:p w:rsidR="00350861" w:rsidRPr="0090720F" w:rsidRDefault="00350861" w:rsidP="00E872E2">
            <w:pPr>
              <w:snapToGrid w:val="0"/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2C6340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872E2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E872E2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日下午14：</w:t>
            </w:r>
            <w:r w:rsidR="00E872E2">
              <w:rPr>
                <w:rFonts w:ascii="宋体" w:hAnsi="宋体" w:hint="eastAsia"/>
                <w:bCs/>
                <w:iCs/>
                <w:color w:val="000000"/>
                <w:sz w:val="24"/>
              </w:rPr>
              <w:t>00-15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E872E2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2C6340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350861" w:rsidRPr="0090720F" w:rsidTr="00402AD4">
        <w:tc>
          <w:tcPr>
            <w:tcW w:w="1985" w:type="dxa"/>
            <w:vAlign w:val="center"/>
          </w:tcPr>
          <w:p w:rsidR="00350861" w:rsidRPr="0090720F" w:rsidRDefault="00350861" w:rsidP="0040033E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88" w:type="dxa"/>
            <w:vAlign w:val="center"/>
          </w:tcPr>
          <w:p w:rsidR="00350861" w:rsidRPr="0090720F" w:rsidRDefault="002C6340" w:rsidP="001A4093">
            <w:pPr>
              <w:snapToGrid w:val="0"/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安徽省合肥市望江东路70号东华科技</w:t>
            </w:r>
            <w:r w:rsidR="001A4093">
              <w:rPr>
                <w:rFonts w:ascii="宋体" w:hAnsi="宋体" w:hint="eastAsia"/>
                <w:bCs/>
                <w:iCs/>
                <w:sz w:val="24"/>
              </w:rPr>
              <w:t>A楼1606室</w:t>
            </w:r>
          </w:p>
        </w:tc>
      </w:tr>
      <w:tr w:rsidR="00350861" w:rsidRPr="0090720F" w:rsidTr="00402AD4">
        <w:trPr>
          <w:trHeight w:val="793"/>
        </w:trPr>
        <w:tc>
          <w:tcPr>
            <w:tcW w:w="1985" w:type="dxa"/>
            <w:vAlign w:val="center"/>
          </w:tcPr>
          <w:p w:rsidR="00741FB0" w:rsidRDefault="00350861" w:rsidP="0040033E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:rsidR="00350861" w:rsidRPr="0090720F" w:rsidRDefault="00350861" w:rsidP="0040033E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7088" w:type="dxa"/>
            <w:vAlign w:val="center"/>
          </w:tcPr>
          <w:p w:rsidR="00350861" w:rsidRDefault="002C6340" w:rsidP="0040033E">
            <w:pPr>
              <w:snapToGrid w:val="0"/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财务总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350861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张学明 </w:t>
            </w:r>
          </w:p>
          <w:p w:rsidR="00350861" w:rsidRPr="00146CDB" w:rsidRDefault="00E872E2" w:rsidP="00E872E2">
            <w:pPr>
              <w:snapToGrid w:val="0"/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工程室副</w:t>
            </w:r>
            <w:r w:rsidR="002C6340">
              <w:rPr>
                <w:rFonts w:ascii="宋体" w:hAnsi="宋体" w:hint="eastAsia"/>
                <w:bCs/>
                <w:iCs/>
                <w:color w:val="000000"/>
                <w:sz w:val="24"/>
              </w:rPr>
              <w:t>主任</w:t>
            </w:r>
            <w:r w:rsidR="00350861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孙洪涛</w:t>
            </w:r>
          </w:p>
        </w:tc>
      </w:tr>
      <w:tr w:rsidR="00350861" w:rsidRPr="0090720F" w:rsidTr="00402AD4">
        <w:trPr>
          <w:trHeight w:val="1065"/>
        </w:trPr>
        <w:tc>
          <w:tcPr>
            <w:tcW w:w="1985" w:type="dxa"/>
            <w:vAlign w:val="center"/>
          </w:tcPr>
          <w:p w:rsidR="00350861" w:rsidRPr="0090720F" w:rsidRDefault="00350861" w:rsidP="0040033E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88" w:type="dxa"/>
          </w:tcPr>
          <w:p w:rsidR="002C43A5" w:rsidRDefault="002C43A5" w:rsidP="002C43A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1EA7" w:rsidRPr="002C43A5" w:rsidRDefault="002C43A5" w:rsidP="002C43A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2C43A5">
              <w:rPr>
                <w:rFonts w:asciiTheme="minorEastAsia" w:eastAsiaTheme="minorEastAsia" w:hAnsiTheme="minorEastAsia" w:hint="eastAsia"/>
                <w:b/>
                <w:sz w:val="24"/>
              </w:rPr>
              <w:t>以下内容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系</w:t>
            </w:r>
            <w:r w:rsidRPr="002C43A5">
              <w:rPr>
                <w:rFonts w:asciiTheme="minorEastAsia" w:eastAsiaTheme="minorEastAsia" w:hAnsiTheme="minorEastAsia" w:hint="eastAsia"/>
                <w:b/>
                <w:sz w:val="24"/>
              </w:rPr>
              <w:t>就来访人员提问而形成：</w:t>
            </w:r>
          </w:p>
          <w:p w:rsid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一、张学明董秘与投资者交流的内容</w:t>
            </w:r>
          </w:p>
          <w:p w:rsidR="00606FDD" w:rsidRPr="0040033E" w:rsidRDefault="002C43A5" w:rsidP="00A602A4">
            <w:pPr>
              <w:pStyle w:val="a3"/>
              <w:snapToGrid w:val="0"/>
              <w:spacing w:beforeLines="25" w:afterLines="25" w:line="400" w:lineRule="atLeast"/>
              <w:ind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（一）关于行业形势与公司应对措施</w:t>
            </w:r>
          </w:p>
          <w:p w:rsidR="00606FDD" w:rsidRDefault="002C43A5" w:rsidP="00A602A4">
            <w:pPr>
              <w:pStyle w:val="a3"/>
              <w:snapToGrid w:val="0"/>
              <w:spacing w:beforeLines="25" w:afterLines="25" w:line="400" w:lineRule="atLeas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半年，化工行业投资企暖回升，并明显领先于全国工业投资平均水平；据预测，下半年行业经济运行回升将有所加快，总体趋势向好。安全、环保从严，将推动行业的园区化、集中化和产业升级，同时也给工程公司的实力</w:t>
            </w:r>
            <w:r w:rsidRPr="00956C4C">
              <w:rPr>
                <w:rFonts w:asciiTheme="minorEastAsia" w:eastAsiaTheme="minorEastAsia" w:hAnsiTheme="minorEastAsia" w:hint="eastAsia"/>
                <w:sz w:val="24"/>
              </w:rPr>
              <w:t>提</w:t>
            </w:r>
            <w:r w:rsidR="00956C4C">
              <w:rPr>
                <w:rFonts w:asciiTheme="minorEastAsia" w:eastAsiaTheme="minorEastAsia" w:hAnsiTheme="minorEastAsia" w:hint="eastAsia"/>
                <w:sz w:val="24"/>
              </w:rPr>
              <w:t>出了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更高的要求。</w:t>
            </w:r>
          </w:p>
          <w:p w:rsid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在乙二醇产品工程领域具有较高的市场占有率。目前公司正致力延伸乙二醇产品的下游路线，提升乙二醇产品的市场需求。同时，大力寻求新的产品集群，加大公司技术储备，如投资参股上海睿碳公司，参与FTO技术研发，并承担了</w:t>
            </w:r>
            <w:r w:rsidRPr="002C43A5">
              <w:rPr>
                <w:rFonts w:asciiTheme="minorEastAsia" w:eastAsiaTheme="minorEastAsia" w:hAnsiTheme="minorEastAsia" w:hint="eastAsia"/>
                <w:sz w:val="24"/>
              </w:rPr>
              <w:t>FTO中试装置总承包项目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。公司关注环保领域业务，寻求化工园区、大型工业装置等废水处理的投资、建设和运营业务，以形成多元化经营，这也是公司中长期发展的一个战略方向。公司加大国际经营力度，开展了国际化</w:t>
            </w: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经营年活动。进一步夯实海外营销团队建设，增设海外营销机构，调整分管领导、营销经理。公司以上海分公司作为海外经营的据点，强化与国外公司的对接。公司将“造船出海”、“借船出海”并举，重视与大型中央企业进行合作，以形成“资源+技术”的经营优势。2019年公司海外经营工作有望实现实质性突破。</w:t>
            </w:r>
          </w:p>
          <w:p w:rsid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公司上半年合同签约同比大增，并对全年经营工作充满信心。</w:t>
            </w:r>
          </w:p>
          <w:p w:rsidR="002C43A5" w:rsidRP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（二）</w:t>
            </w:r>
            <w:r w:rsidRPr="002C43A5">
              <w:rPr>
                <w:rFonts w:asciiTheme="minorEastAsia" w:eastAsiaTheme="minorEastAsia" w:hAnsiTheme="minorEastAsia" w:hint="eastAsia"/>
                <w:b/>
                <w:sz w:val="24"/>
              </w:rPr>
              <w:t>关于开滦煤制乙二醇EPC项目合同事宜</w:t>
            </w:r>
          </w:p>
          <w:p w:rsid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该项目系由公司与中建八局联合承揽，其中中建八局为牵头方。目前，公司与中建八局尚未最终确定该项目合同额的分配事宜。待最终确定后，公司将依据《信息披露管理制度》及时进行披露。</w:t>
            </w:r>
          </w:p>
          <w:p w:rsidR="002C43A5" w:rsidRP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（三）</w:t>
            </w:r>
            <w:r w:rsidRPr="002C43A5">
              <w:rPr>
                <w:rFonts w:asciiTheme="minorEastAsia" w:eastAsiaTheme="minorEastAsia" w:hAnsiTheme="minorEastAsia" w:hint="eastAsia"/>
                <w:b/>
                <w:sz w:val="24"/>
              </w:rPr>
              <w:t>关于刚果（布）钾肥项目情况</w:t>
            </w:r>
          </w:p>
          <w:p w:rsid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公司已累计计提了</w:t>
            </w:r>
            <w:r w:rsidRPr="002C43A5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2C43A5">
              <w:rPr>
                <w:rFonts w:asciiTheme="minorEastAsia" w:eastAsiaTheme="minorEastAsia" w:hAnsiTheme="minorEastAsia" w:hint="eastAsia"/>
                <w:sz w:val="24"/>
              </w:rPr>
              <w:t>01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亿</w:t>
            </w:r>
            <w:r w:rsidRPr="002C43A5">
              <w:rPr>
                <w:rFonts w:asciiTheme="minorEastAsia" w:eastAsiaTheme="minorEastAsia" w:hAnsiTheme="minorEastAsia" w:hint="eastAsia"/>
                <w:sz w:val="24"/>
              </w:rPr>
              <w:t>元人民币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Pr="002C43A5">
              <w:rPr>
                <w:rFonts w:asciiTheme="minorEastAsia" w:eastAsiaTheme="minorEastAsia" w:hAnsiTheme="minorEastAsia" w:hint="eastAsia"/>
                <w:sz w:val="24"/>
              </w:rPr>
              <w:t>资产减值准备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。目前，公司一方面</w:t>
            </w:r>
            <w:r w:rsidRPr="002C43A5">
              <w:rPr>
                <w:rFonts w:asciiTheme="minorEastAsia" w:eastAsiaTheme="minorEastAsia" w:hAnsiTheme="minorEastAsia" w:hint="eastAsia"/>
                <w:sz w:val="24"/>
              </w:rPr>
              <w:t>关注项目进展情况，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并</w:t>
            </w:r>
            <w:r w:rsidRPr="002C43A5">
              <w:rPr>
                <w:rFonts w:asciiTheme="minorEastAsia" w:eastAsiaTheme="minorEastAsia" w:hAnsiTheme="minorEastAsia" w:hint="eastAsia"/>
                <w:sz w:val="24"/>
              </w:rPr>
              <w:t>与相关方进行沟通，以期早日推动项目重启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。另一方面，着手对项目所涉及的合同进行梳理和处理，以期最大限度地减少损失。</w:t>
            </w:r>
          </w:p>
          <w:p w:rsidR="002C43A5" w:rsidRP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Pr="002C43A5">
              <w:rPr>
                <w:rFonts w:asciiTheme="minorEastAsia" w:eastAsiaTheme="minorEastAsia" w:hAnsiTheme="minorEastAsia" w:hint="eastAsia"/>
                <w:b/>
                <w:sz w:val="24"/>
              </w:rPr>
              <w:t>四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  <w:r w:rsidRPr="002C43A5">
              <w:rPr>
                <w:rFonts w:asciiTheme="minorEastAsia" w:eastAsiaTheme="minorEastAsia" w:hAnsiTheme="minorEastAsia" w:hint="eastAsia"/>
                <w:b/>
                <w:sz w:val="24"/>
              </w:rPr>
              <w:t>关于股权激励事宜</w:t>
            </w:r>
          </w:p>
          <w:p w:rsid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公司于9月6日召开董事会，审议通过了关于实施</w:t>
            </w:r>
            <w:r w:rsidRPr="002C43A5">
              <w:rPr>
                <w:rFonts w:asciiTheme="minorEastAsia" w:eastAsiaTheme="minorEastAsia" w:hAnsiTheme="minorEastAsia" w:hint="eastAsia"/>
                <w:sz w:val="24"/>
              </w:rPr>
              <w:t>2019年限制性股票激励计划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等议案。公司聘请上海荣正作为财务顾问，聘请安徽承义律师事务所作为法律顾问，相关指标的设置均符合《公司法》、《证券法》以及</w:t>
            </w:r>
            <w:r w:rsidRPr="002C43A5">
              <w:rPr>
                <w:rFonts w:asciiTheme="minorEastAsia" w:eastAsiaTheme="minorEastAsia" w:hAnsiTheme="minorEastAsia" w:hint="eastAsia"/>
                <w:sz w:val="24"/>
              </w:rPr>
              <w:t>《上市公司股权激励管理办法 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、175号文、171号文等规定。</w:t>
            </w:r>
          </w:p>
          <w:p w:rsid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近年来，国家大力推进混合所有制改革。国务院国资委切实支持上市公司实施股权激励，并以此作为深化国企改革的一个重要环节。同时，作为知识密集型企业，公司积极探索建立中长期约束机制，如股权激励、模拟跟投、业绩对赌等。因此，在集团公司的大力支持下，公司综合考虑多种因素，以限制性股票作为激励工具，适时推进股权激励计划。具体情况可查阅公司在9月7日发布的公告。</w:t>
            </w:r>
          </w:p>
          <w:p w:rsidR="002C43A5" w:rsidRP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2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Pr="002C43A5">
              <w:rPr>
                <w:rFonts w:asciiTheme="minorEastAsia" w:eastAsiaTheme="minorEastAsia" w:hAnsiTheme="minorEastAsia" w:hint="eastAsia"/>
                <w:b/>
                <w:sz w:val="24"/>
              </w:rPr>
              <w:t>五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  <w:r w:rsidRPr="002C43A5">
              <w:rPr>
                <w:rFonts w:asciiTheme="minorEastAsia" w:eastAsiaTheme="minorEastAsia" w:hAnsiTheme="minorEastAsia" w:hint="eastAsia"/>
                <w:b/>
                <w:sz w:val="24"/>
              </w:rPr>
              <w:t>关于业务模式</w:t>
            </w:r>
          </w:p>
          <w:p w:rsid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公司主要开展化学工程、环境治理及基础设施工程、运营和商业保理等业务。在工程业务中，公司以咨询、设计、项目管理等为主体，施工安装、设备制造等部分工作均分包给具有相应资质的分包企业。公司现拥有三项施工总承包资质，具备了从事施工业务的资质要求，并已在总承包项目中开展施工，但目前业务体量较小。</w:t>
            </w:r>
          </w:p>
          <w:p w:rsid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2"/>
              <w:rPr>
                <w:rFonts w:asciiTheme="minorEastAsia" w:eastAsiaTheme="minorEastAsia" w:hAnsiTheme="minorEastAsia"/>
                <w:sz w:val="24"/>
              </w:rPr>
            </w:pPr>
            <w:r w:rsidRPr="002C43A5">
              <w:rPr>
                <w:rFonts w:asciiTheme="minorEastAsia" w:eastAsiaTheme="minorEastAsia" w:hAnsiTheme="minorEastAsia" w:hint="eastAsia"/>
                <w:b/>
                <w:sz w:val="24"/>
              </w:rPr>
              <w:t>二、工程部孙洪涛副主任与投资者交流</w:t>
            </w:r>
            <w:r w:rsidR="00956C4C">
              <w:rPr>
                <w:rFonts w:asciiTheme="minorEastAsia" w:eastAsiaTheme="minorEastAsia" w:hAnsiTheme="minorEastAsia" w:hint="eastAsia"/>
                <w:b/>
                <w:sz w:val="24"/>
              </w:rPr>
              <w:t>的内容</w:t>
            </w:r>
          </w:p>
          <w:p w:rsidR="002C43A5" w:rsidRP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孙洪涛副主任主要介绍硫酸法钛白、氯化法钛白、盐酸法钛白等工艺技术和工程市场情况。</w:t>
            </w:r>
          </w:p>
          <w:p w:rsidR="00606FDD" w:rsidRPr="002C43A5" w:rsidRDefault="002C43A5" w:rsidP="00A602A4">
            <w:pPr>
              <w:pStyle w:val="a3"/>
              <w:snapToGrid w:val="0"/>
              <w:spacing w:beforeLines="25" w:afterLines="25" w:line="400" w:lineRule="atLeast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2C43A5">
              <w:rPr>
                <w:rFonts w:asciiTheme="minorEastAsia" w:eastAsiaTheme="minorEastAsia" w:hAnsiTheme="minorEastAsia" w:hint="eastAsia"/>
                <w:sz w:val="24"/>
              </w:rPr>
              <w:t>调研结束。</w:t>
            </w:r>
          </w:p>
          <w:p w:rsidR="00350861" w:rsidRDefault="00350861" w:rsidP="00402AD4">
            <w:pPr>
              <w:pStyle w:val="a3"/>
              <w:snapToGrid w:val="0"/>
              <w:spacing w:line="30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0B58A6" w:rsidRDefault="000B58A6" w:rsidP="00402AD4">
            <w:pPr>
              <w:pStyle w:val="a3"/>
              <w:snapToGrid w:val="0"/>
              <w:spacing w:line="30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0B58A6" w:rsidRDefault="000B58A6" w:rsidP="00402AD4">
            <w:pPr>
              <w:pStyle w:val="a3"/>
              <w:snapToGrid w:val="0"/>
              <w:spacing w:line="30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0B58A6" w:rsidRPr="005775CE" w:rsidRDefault="000B58A6" w:rsidP="00402AD4">
            <w:pPr>
              <w:pStyle w:val="a3"/>
              <w:snapToGrid w:val="0"/>
              <w:spacing w:line="30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350861" w:rsidRPr="0090720F" w:rsidTr="00402AD4">
        <w:trPr>
          <w:trHeight w:val="564"/>
        </w:trPr>
        <w:tc>
          <w:tcPr>
            <w:tcW w:w="1985" w:type="dxa"/>
            <w:vAlign w:val="center"/>
          </w:tcPr>
          <w:p w:rsidR="00350861" w:rsidRPr="0090720F" w:rsidRDefault="00350861" w:rsidP="00402AD4">
            <w:pPr>
              <w:snapToGrid w:val="0"/>
              <w:spacing w:line="40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88" w:type="dxa"/>
            <w:vAlign w:val="center"/>
          </w:tcPr>
          <w:p w:rsidR="00350861" w:rsidRPr="0090720F" w:rsidRDefault="000B58A6" w:rsidP="006A64DC">
            <w:pPr>
              <w:snapToGrid w:val="0"/>
              <w:spacing w:line="40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350861" w:rsidRPr="0090720F" w:rsidTr="00402AD4">
        <w:trPr>
          <w:trHeight w:val="564"/>
        </w:trPr>
        <w:tc>
          <w:tcPr>
            <w:tcW w:w="1985" w:type="dxa"/>
            <w:vAlign w:val="center"/>
          </w:tcPr>
          <w:p w:rsidR="00350861" w:rsidRPr="0090720F" w:rsidRDefault="00350861" w:rsidP="00402AD4">
            <w:pPr>
              <w:snapToGrid w:val="0"/>
              <w:spacing w:line="40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88" w:type="dxa"/>
            <w:vAlign w:val="center"/>
          </w:tcPr>
          <w:p w:rsidR="00350861" w:rsidRPr="0090720F" w:rsidRDefault="00350861" w:rsidP="002C43A5">
            <w:pPr>
              <w:snapToGrid w:val="0"/>
              <w:spacing w:line="40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C6F2D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C43A5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2C43A5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350861" w:rsidRDefault="00350861" w:rsidP="00350861"/>
    <w:p w:rsidR="00350861" w:rsidRPr="00FA13EF" w:rsidRDefault="00350861" w:rsidP="00350861">
      <w:pPr>
        <w:spacing w:line="480" w:lineRule="exact"/>
        <w:ind w:right="220"/>
        <w:jc w:val="left"/>
        <w:rPr>
          <w:rFonts w:ascii="宋体" w:hAnsi="宋体"/>
          <w:bCs/>
          <w:sz w:val="22"/>
          <w:szCs w:val="28"/>
        </w:rPr>
      </w:pPr>
    </w:p>
    <w:p w:rsidR="00AB4002" w:rsidRDefault="00AB4002"/>
    <w:sectPr w:rsidR="00AB4002" w:rsidSect="0040033E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05" w:rsidRDefault="00580E05" w:rsidP="00B60A0F">
      <w:r>
        <w:separator/>
      </w:r>
    </w:p>
  </w:endnote>
  <w:endnote w:type="continuationSeparator" w:id="1">
    <w:p w:rsidR="00580E05" w:rsidRDefault="00580E05" w:rsidP="00B6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05" w:rsidRDefault="00580E05" w:rsidP="00B60A0F">
      <w:r>
        <w:separator/>
      </w:r>
    </w:p>
  </w:footnote>
  <w:footnote w:type="continuationSeparator" w:id="1">
    <w:p w:rsidR="00580E05" w:rsidRDefault="00580E05" w:rsidP="00B60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211A"/>
    <w:multiLevelType w:val="hybridMultilevel"/>
    <w:tmpl w:val="6598FB9C"/>
    <w:lvl w:ilvl="0" w:tplc="4EAEF89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861"/>
    <w:rsid w:val="00044D41"/>
    <w:rsid w:val="000B58A6"/>
    <w:rsid w:val="00101EA7"/>
    <w:rsid w:val="001A4093"/>
    <w:rsid w:val="00256AF2"/>
    <w:rsid w:val="0026230B"/>
    <w:rsid w:val="00295034"/>
    <w:rsid w:val="002C43A5"/>
    <w:rsid w:val="002C6340"/>
    <w:rsid w:val="00321AFE"/>
    <w:rsid w:val="00350861"/>
    <w:rsid w:val="003E601C"/>
    <w:rsid w:val="0040033E"/>
    <w:rsid w:val="00402AD4"/>
    <w:rsid w:val="00411575"/>
    <w:rsid w:val="00532C35"/>
    <w:rsid w:val="00580E05"/>
    <w:rsid w:val="005B5849"/>
    <w:rsid w:val="005B734A"/>
    <w:rsid w:val="00606FDD"/>
    <w:rsid w:val="00652791"/>
    <w:rsid w:val="006A64DC"/>
    <w:rsid w:val="006D57B9"/>
    <w:rsid w:val="00741FB0"/>
    <w:rsid w:val="00773642"/>
    <w:rsid w:val="0078613C"/>
    <w:rsid w:val="007926F5"/>
    <w:rsid w:val="007F66C7"/>
    <w:rsid w:val="008252F8"/>
    <w:rsid w:val="0085460C"/>
    <w:rsid w:val="00894B10"/>
    <w:rsid w:val="008C73BC"/>
    <w:rsid w:val="00913A53"/>
    <w:rsid w:val="00923353"/>
    <w:rsid w:val="00956C4C"/>
    <w:rsid w:val="009E32BE"/>
    <w:rsid w:val="009E665A"/>
    <w:rsid w:val="00A53A76"/>
    <w:rsid w:val="00A602A4"/>
    <w:rsid w:val="00A71AA3"/>
    <w:rsid w:val="00AA6C46"/>
    <w:rsid w:val="00AB0619"/>
    <w:rsid w:val="00AB4002"/>
    <w:rsid w:val="00B43760"/>
    <w:rsid w:val="00B60A0F"/>
    <w:rsid w:val="00BD52DE"/>
    <w:rsid w:val="00C32ED5"/>
    <w:rsid w:val="00C767CA"/>
    <w:rsid w:val="00C87900"/>
    <w:rsid w:val="00CB2BFD"/>
    <w:rsid w:val="00CC614A"/>
    <w:rsid w:val="00CC6F2D"/>
    <w:rsid w:val="00D0629E"/>
    <w:rsid w:val="00D23D04"/>
    <w:rsid w:val="00D26014"/>
    <w:rsid w:val="00D412D4"/>
    <w:rsid w:val="00D847AE"/>
    <w:rsid w:val="00DC7D02"/>
    <w:rsid w:val="00E72900"/>
    <w:rsid w:val="00E778BD"/>
    <w:rsid w:val="00E872E2"/>
    <w:rsid w:val="00EB1EC3"/>
    <w:rsid w:val="00EB7203"/>
    <w:rsid w:val="00F46A23"/>
    <w:rsid w:val="00F47A32"/>
    <w:rsid w:val="00F83751"/>
    <w:rsid w:val="00FD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6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6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0A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0A0F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606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16">
    <w:name w:val="f16"/>
    <w:basedOn w:val="a"/>
    <w:rsid w:val="00F83751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3986">
              <w:marLeft w:val="3"/>
              <w:marRight w:val="3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孙政-000422</dc:creator>
  <cp:lastModifiedBy>孙政-000422</cp:lastModifiedBy>
  <cp:revision>8</cp:revision>
  <cp:lastPrinted>2019-04-03T07:14:00Z</cp:lastPrinted>
  <dcterms:created xsi:type="dcterms:W3CDTF">2019-09-16T07:22:00Z</dcterms:created>
  <dcterms:modified xsi:type="dcterms:W3CDTF">2019-09-16T08:11:00Z</dcterms:modified>
</cp:coreProperties>
</file>