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C66194" w14:textId="77777777" w:rsidR="00652888" w:rsidRDefault="0061617F">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证券代码：000883                                证券简称：湖北能源</w:t>
      </w:r>
    </w:p>
    <w:p w14:paraId="249A1D32" w14:textId="77777777" w:rsidR="00652888" w:rsidRDefault="0061617F">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湖北能源集团股份有限公司投资者关系活动记录表</w:t>
      </w:r>
    </w:p>
    <w:p w14:paraId="475EC401" w14:textId="77777777" w:rsidR="00652888" w:rsidRDefault="0061617F">
      <w:pPr>
        <w:spacing w:line="400" w:lineRule="exact"/>
        <w:rPr>
          <w:rFonts w:ascii="宋体" w:hAnsi="宋体"/>
          <w:bCs/>
          <w:iCs/>
          <w:color w:val="000000"/>
          <w:sz w:val="24"/>
        </w:rPr>
      </w:pPr>
      <w:r>
        <w:rPr>
          <w:rFonts w:ascii="宋体" w:hAnsi="宋体" w:hint="eastAsia"/>
          <w:bCs/>
          <w:iCs/>
          <w:color w:val="000000"/>
          <w:sz w:val="24"/>
        </w:rPr>
        <w:t xml:space="preserve">                                                        编号：201</w:t>
      </w:r>
      <w:r>
        <w:rPr>
          <w:rFonts w:ascii="宋体" w:hAnsi="宋体"/>
          <w:bCs/>
          <w:iCs/>
          <w:color w:val="000000"/>
          <w:sz w:val="24"/>
        </w:rPr>
        <w:t>9</w:t>
      </w:r>
      <w:r>
        <w:rPr>
          <w:rFonts w:ascii="宋体" w:hAnsi="宋体" w:hint="eastAsia"/>
          <w:bCs/>
          <w:iCs/>
          <w:color w:val="000000"/>
          <w:sz w:val="24"/>
        </w:rPr>
        <w:t>01</w:t>
      </w:r>
      <w:r>
        <w:rPr>
          <w:rFonts w:ascii="宋体" w:hAnsi="宋体"/>
          <w:bCs/>
          <w:iCs/>
          <w:color w:val="000000"/>
          <w:sz w:val="24"/>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7254"/>
      </w:tblGrid>
      <w:tr w:rsidR="00652888" w14:paraId="6278BA4B" w14:textId="77777777">
        <w:tc>
          <w:tcPr>
            <w:tcW w:w="1926" w:type="dxa"/>
            <w:tcBorders>
              <w:top w:val="single" w:sz="4" w:space="0" w:color="auto"/>
              <w:left w:val="single" w:sz="4" w:space="0" w:color="auto"/>
              <w:bottom w:val="single" w:sz="4" w:space="0" w:color="auto"/>
              <w:right w:val="single" w:sz="4" w:space="0" w:color="auto"/>
            </w:tcBorders>
          </w:tcPr>
          <w:p w14:paraId="19924716"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投资者关系活动类别</w:t>
            </w:r>
          </w:p>
          <w:p w14:paraId="1BBDDFFA" w14:textId="77777777" w:rsidR="00652888" w:rsidRDefault="00652888">
            <w:pPr>
              <w:spacing w:line="400" w:lineRule="exact"/>
              <w:rPr>
                <w:rFonts w:ascii="宋体" w:hAnsi="宋体"/>
                <w:bCs/>
                <w:iCs/>
                <w:color w:val="000000"/>
                <w:sz w:val="24"/>
                <w:szCs w:val="22"/>
              </w:rPr>
            </w:pPr>
          </w:p>
        </w:tc>
        <w:tc>
          <w:tcPr>
            <w:tcW w:w="7254" w:type="dxa"/>
            <w:tcBorders>
              <w:top w:val="single" w:sz="4" w:space="0" w:color="auto"/>
              <w:left w:val="single" w:sz="4" w:space="0" w:color="auto"/>
              <w:bottom w:val="single" w:sz="4" w:space="0" w:color="auto"/>
              <w:right w:val="single" w:sz="4" w:space="0" w:color="auto"/>
            </w:tcBorders>
          </w:tcPr>
          <w:p w14:paraId="5E462A26" w14:textId="77777777" w:rsidR="00652888" w:rsidRDefault="0061617F">
            <w:pPr>
              <w:spacing w:line="400" w:lineRule="exact"/>
              <w:rPr>
                <w:rFonts w:ascii="宋体" w:hAnsi="宋体"/>
                <w:bCs/>
                <w:iCs/>
                <w:color w:val="000000"/>
                <w:sz w:val="24"/>
                <w:szCs w:val="22"/>
              </w:rPr>
            </w:pPr>
            <w:r>
              <w:rPr>
                <w:rFonts w:ascii="Arial" w:hAnsi="Arial" w:cs="Arial"/>
                <w:bCs/>
                <w:iCs/>
                <w:color w:val="000000"/>
                <w:sz w:val="24"/>
                <w:szCs w:val="22"/>
              </w:rPr>
              <w:t>√</w:t>
            </w:r>
            <w:r>
              <w:rPr>
                <w:rFonts w:ascii="宋体" w:hAnsi="宋体" w:hint="eastAsia"/>
                <w:sz w:val="28"/>
                <w:szCs w:val="28"/>
              </w:rPr>
              <w:t xml:space="preserve">特定对象调研        </w:t>
            </w:r>
            <w:r>
              <w:rPr>
                <w:rFonts w:ascii="宋体" w:hAnsi="宋体" w:hint="eastAsia"/>
                <w:bCs/>
                <w:iCs/>
                <w:color w:val="000000"/>
                <w:sz w:val="24"/>
                <w:szCs w:val="22"/>
              </w:rPr>
              <w:t>□</w:t>
            </w:r>
            <w:r>
              <w:rPr>
                <w:rFonts w:ascii="宋体" w:hAnsi="宋体" w:hint="eastAsia"/>
                <w:sz w:val="28"/>
                <w:szCs w:val="28"/>
              </w:rPr>
              <w:t>分析师会议</w:t>
            </w:r>
          </w:p>
          <w:p w14:paraId="44CBD3B7"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w:t>
            </w:r>
            <w:r>
              <w:rPr>
                <w:rFonts w:ascii="宋体" w:hAnsi="宋体" w:hint="eastAsia"/>
                <w:sz w:val="28"/>
                <w:szCs w:val="28"/>
              </w:rPr>
              <w:t xml:space="preserve">媒体采访            </w:t>
            </w:r>
            <w:r>
              <w:rPr>
                <w:rFonts w:ascii="宋体" w:hAnsi="宋体" w:hint="eastAsia"/>
                <w:bCs/>
                <w:iCs/>
                <w:color w:val="000000"/>
                <w:sz w:val="24"/>
                <w:szCs w:val="22"/>
              </w:rPr>
              <w:t>□</w:t>
            </w:r>
            <w:r>
              <w:rPr>
                <w:rFonts w:ascii="宋体" w:hAnsi="宋体" w:hint="eastAsia"/>
                <w:sz w:val="28"/>
                <w:szCs w:val="28"/>
              </w:rPr>
              <w:t>业绩说明会</w:t>
            </w:r>
          </w:p>
          <w:p w14:paraId="5A85DA23"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w:t>
            </w:r>
            <w:r>
              <w:rPr>
                <w:rFonts w:ascii="宋体" w:hAnsi="宋体" w:hint="eastAsia"/>
                <w:sz w:val="28"/>
                <w:szCs w:val="28"/>
              </w:rPr>
              <w:t xml:space="preserve">新闻发布会          </w:t>
            </w:r>
            <w:r>
              <w:rPr>
                <w:rFonts w:ascii="宋体" w:hAnsi="宋体" w:hint="eastAsia"/>
                <w:bCs/>
                <w:iCs/>
                <w:color w:val="000000"/>
                <w:sz w:val="24"/>
                <w:szCs w:val="22"/>
              </w:rPr>
              <w:t>□</w:t>
            </w:r>
            <w:r>
              <w:rPr>
                <w:rFonts w:ascii="宋体" w:hAnsi="宋体" w:hint="eastAsia"/>
                <w:sz w:val="28"/>
                <w:szCs w:val="28"/>
              </w:rPr>
              <w:t>路演活动</w:t>
            </w:r>
          </w:p>
          <w:p w14:paraId="5C0E5591" w14:textId="77777777" w:rsidR="00652888" w:rsidRDefault="0061617F">
            <w:pPr>
              <w:tabs>
                <w:tab w:val="left" w:pos="3045"/>
                <w:tab w:val="center" w:pos="3199"/>
              </w:tabs>
              <w:spacing w:line="400" w:lineRule="exact"/>
              <w:rPr>
                <w:rFonts w:ascii="宋体" w:hAnsi="宋体"/>
                <w:bCs/>
                <w:iCs/>
                <w:color w:val="000000"/>
                <w:sz w:val="24"/>
                <w:szCs w:val="22"/>
              </w:rPr>
            </w:pPr>
            <w:r>
              <w:rPr>
                <w:rFonts w:ascii="宋体" w:hAnsi="宋体" w:hint="eastAsia"/>
                <w:bCs/>
                <w:iCs/>
                <w:color w:val="000000"/>
                <w:sz w:val="24"/>
                <w:szCs w:val="22"/>
              </w:rPr>
              <w:t>□</w:t>
            </w:r>
            <w:r>
              <w:rPr>
                <w:rFonts w:ascii="宋体" w:hAnsi="宋体" w:hint="eastAsia"/>
                <w:sz w:val="28"/>
                <w:szCs w:val="28"/>
              </w:rPr>
              <w:t>现场参观</w:t>
            </w:r>
            <w:r>
              <w:rPr>
                <w:rFonts w:ascii="宋体" w:hAnsi="宋体" w:hint="eastAsia"/>
                <w:bCs/>
                <w:iCs/>
                <w:color w:val="000000"/>
                <w:sz w:val="24"/>
                <w:szCs w:val="22"/>
              </w:rPr>
              <w:tab/>
            </w:r>
          </w:p>
          <w:p w14:paraId="2CF58840" w14:textId="77777777" w:rsidR="00652888" w:rsidRDefault="0061617F">
            <w:pPr>
              <w:tabs>
                <w:tab w:val="center" w:pos="3199"/>
              </w:tabs>
              <w:spacing w:line="400" w:lineRule="exact"/>
              <w:rPr>
                <w:rFonts w:ascii="宋体" w:hAnsi="宋体"/>
                <w:bCs/>
                <w:iCs/>
                <w:color w:val="000000"/>
                <w:sz w:val="24"/>
                <w:szCs w:val="22"/>
              </w:rPr>
            </w:pPr>
            <w:r>
              <w:rPr>
                <w:rFonts w:ascii="宋体" w:hAnsi="宋体" w:hint="eastAsia"/>
                <w:bCs/>
                <w:iCs/>
                <w:color w:val="000000"/>
                <w:sz w:val="24"/>
                <w:szCs w:val="22"/>
              </w:rPr>
              <w:t>□</w:t>
            </w:r>
            <w:r>
              <w:rPr>
                <w:rFonts w:ascii="宋体" w:hAnsi="宋体" w:hint="eastAsia"/>
                <w:sz w:val="28"/>
                <w:szCs w:val="28"/>
              </w:rPr>
              <w:t>其他 （</w:t>
            </w:r>
            <w:r>
              <w:rPr>
                <w:rFonts w:ascii="宋体" w:hAnsi="宋体" w:hint="eastAsia"/>
                <w:sz w:val="28"/>
                <w:szCs w:val="28"/>
                <w:u w:val="single"/>
              </w:rPr>
              <w:t>请文字说明其他活动内容）</w:t>
            </w:r>
          </w:p>
        </w:tc>
      </w:tr>
      <w:tr w:rsidR="00652888" w14:paraId="2E130B0B" w14:textId="77777777">
        <w:tc>
          <w:tcPr>
            <w:tcW w:w="1926" w:type="dxa"/>
            <w:tcBorders>
              <w:top w:val="single" w:sz="4" w:space="0" w:color="auto"/>
              <w:left w:val="single" w:sz="4" w:space="0" w:color="auto"/>
              <w:bottom w:val="single" w:sz="4" w:space="0" w:color="auto"/>
              <w:right w:val="single" w:sz="4" w:space="0" w:color="auto"/>
            </w:tcBorders>
          </w:tcPr>
          <w:p w14:paraId="4C8FAE2E"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参与单位名称及人员姓名</w:t>
            </w:r>
          </w:p>
        </w:tc>
        <w:tc>
          <w:tcPr>
            <w:tcW w:w="7254" w:type="dxa"/>
            <w:tcBorders>
              <w:top w:val="single" w:sz="4" w:space="0" w:color="auto"/>
              <w:left w:val="single" w:sz="4" w:space="0" w:color="auto"/>
              <w:bottom w:val="single" w:sz="4" w:space="0" w:color="auto"/>
              <w:right w:val="single" w:sz="4" w:space="0" w:color="auto"/>
            </w:tcBorders>
          </w:tcPr>
          <w:p w14:paraId="3F19F9DF" w14:textId="77777777" w:rsidR="00652888" w:rsidRDefault="0061617F">
            <w:pPr>
              <w:spacing w:line="400" w:lineRule="exact"/>
              <w:rPr>
                <w:rFonts w:ascii="宋体" w:hAnsi="宋体"/>
                <w:bCs/>
                <w:iCs/>
                <w:color w:val="000000"/>
                <w:sz w:val="24"/>
                <w:szCs w:val="22"/>
              </w:rPr>
            </w:pPr>
            <w:r>
              <w:rPr>
                <w:rFonts w:ascii="宋体" w:hAnsi="宋体"/>
                <w:bCs/>
                <w:iCs/>
                <w:color w:val="000000"/>
                <w:sz w:val="24"/>
                <w:szCs w:val="22"/>
              </w:rPr>
              <w:t>华西证券股份有限公司</w:t>
            </w:r>
            <w:r>
              <w:rPr>
                <w:rFonts w:ascii="宋体" w:hAnsi="宋体" w:hint="eastAsia"/>
                <w:bCs/>
                <w:iCs/>
                <w:color w:val="000000"/>
                <w:sz w:val="24"/>
                <w:szCs w:val="22"/>
              </w:rPr>
              <w:t xml:space="preserve">  丁一洪</w:t>
            </w:r>
          </w:p>
          <w:p w14:paraId="6293ADB6"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华西证券股份有限公司  洪奕昕</w:t>
            </w:r>
          </w:p>
          <w:p w14:paraId="567C06D1"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国金证券股份有限公司  杜旷舟</w:t>
            </w:r>
          </w:p>
          <w:p w14:paraId="6F1E68BF" w14:textId="77777777" w:rsidR="00652888" w:rsidRDefault="0061617F">
            <w:pPr>
              <w:spacing w:line="400" w:lineRule="exact"/>
              <w:rPr>
                <w:rFonts w:ascii="宋体" w:hAnsi="宋体"/>
                <w:bCs/>
                <w:iCs/>
                <w:color w:val="000000"/>
                <w:sz w:val="24"/>
                <w:szCs w:val="22"/>
              </w:rPr>
            </w:pPr>
            <w:r>
              <w:rPr>
                <w:rFonts w:ascii="宋体" w:hAnsi="宋体"/>
                <w:bCs/>
                <w:iCs/>
                <w:color w:val="000000"/>
                <w:sz w:val="24"/>
                <w:szCs w:val="22"/>
              </w:rPr>
              <w:t>国金证券股份有限公司</w:t>
            </w:r>
            <w:r>
              <w:rPr>
                <w:rFonts w:ascii="宋体" w:hAnsi="宋体" w:hint="eastAsia"/>
                <w:bCs/>
                <w:iCs/>
                <w:color w:val="000000"/>
                <w:sz w:val="24"/>
                <w:szCs w:val="22"/>
              </w:rPr>
              <w:t xml:space="preserve">  李蓉</w:t>
            </w:r>
          </w:p>
          <w:p w14:paraId="7CA56C02" w14:textId="77777777" w:rsidR="00652888" w:rsidRDefault="0061617F">
            <w:pPr>
              <w:spacing w:line="400" w:lineRule="exact"/>
              <w:rPr>
                <w:rFonts w:ascii="宋体" w:hAnsi="宋体"/>
                <w:bCs/>
                <w:iCs/>
                <w:color w:val="000000"/>
                <w:sz w:val="24"/>
                <w:szCs w:val="22"/>
              </w:rPr>
            </w:pPr>
            <w:r>
              <w:rPr>
                <w:rFonts w:ascii="宋体" w:hAnsi="宋体"/>
                <w:bCs/>
                <w:iCs/>
                <w:color w:val="000000"/>
                <w:sz w:val="24"/>
                <w:szCs w:val="22"/>
              </w:rPr>
              <w:t>国泰君安证券</w:t>
            </w:r>
            <w:r>
              <w:rPr>
                <w:rFonts w:ascii="宋体" w:hAnsi="宋体" w:hint="eastAsia"/>
                <w:bCs/>
                <w:iCs/>
                <w:color w:val="000000"/>
                <w:sz w:val="24"/>
                <w:szCs w:val="22"/>
              </w:rPr>
              <w:t xml:space="preserve">  张爱宁</w:t>
            </w:r>
          </w:p>
          <w:p w14:paraId="712D760B" w14:textId="77777777" w:rsidR="00652888" w:rsidRDefault="0061617F">
            <w:pPr>
              <w:spacing w:line="400" w:lineRule="exact"/>
              <w:rPr>
                <w:rFonts w:ascii="宋体" w:hAnsi="宋体"/>
                <w:bCs/>
                <w:iCs/>
                <w:color w:val="000000"/>
                <w:sz w:val="24"/>
                <w:szCs w:val="22"/>
              </w:rPr>
            </w:pPr>
            <w:r>
              <w:rPr>
                <w:rFonts w:ascii="宋体" w:hAnsi="宋体"/>
                <w:bCs/>
                <w:iCs/>
                <w:color w:val="000000"/>
                <w:sz w:val="24"/>
                <w:szCs w:val="22"/>
              </w:rPr>
              <w:t>海通证券</w:t>
            </w:r>
            <w:r>
              <w:rPr>
                <w:rFonts w:ascii="宋体" w:hAnsi="宋体" w:hint="eastAsia"/>
                <w:bCs/>
                <w:iCs/>
                <w:color w:val="000000"/>
                <w:sz w:val="24"/>
                <w:szCs w:val="22"/>
              </w:rPr>
              <w:t xml:space="preserve">  戴元灿</w:t>
            </w:r>
          </w:p>
          <w:p w14:paraId="781684CB" w14:textId="77777777" w:rsidR="00652888" w:rsidRDefault="0061617F">
            <w:pPr>
              <w:spacing w:line="400" w:lineRule="exact"/>
              <w:rPr>
                <w:rFonts w:ascii="宋体" w:hAnsi="宋体"/>
                <w:bCs/>
                <w:iCs/>
                <w:color w:val="000000"/>
                <w:sz w:val="24"/>
                <w:szCs w:val="22"/>
              </w:rPr>
            </w:pPr>
            <w:r>
              <w:rPr>
                <w:rFonts w:ascii="宋体" w:hAnsi="宋体"/>
                <w:bCs/>
                <w:iCs/>
                <w:color w:val="000000"/>
                <w:sz w:val="24"/>
                <w:szCs w:val="22"/>
              </w:rPr>
              <w:t>中庚基金管理有限公司</w:t>
            </w:r>
            <w:r>
              <w:rPr>
                <w:rFonts w:ascii="宋体" w:hAnsi="宋体" w:hint="eastAsia"/>
                <w:bCs/>
                <w:iCs/>
                <w:color w:val="000000"/>
                <w:sz w:val="24"/>
                <w:szCs w:val="22"/>
              </w:rPr>
              <w:t xml:space="preserve">  胡坤</w:t>
            </w:r>
          </w:p>
          <w:p w14:paraId="12F1693E" w14:textId="77777777" w:rsidR="00652888" w:rsidRDefault="0061617F">
            <w:pPr>
              <w:spacing w:line="400" w:lineRule="exact"/>
              <w:rPr>
                <w:rFonts w:ascii="宋体" w:hAnsi="宋体"/>
                <w:bCs/>
                <w:iCs/>
                <w:color w:val="000000"/>
                <w:sz w:val="24"/>
                <w:szCs w:val="22"/>
              </w:rPr>
            </w:pPr>
            <w:r>
              <w:rPr>
                <w:rFonts w:ascii="宋体" w:hAnsi="宋体"/>
                <w:bCs/>
                <w:iCs/>
                <w:color w:val="000000"/>
                <w:sz w:val="24"/>
                <w:szCs w:val="22"/>
              </w:rPr>
              <w:t>兖矿智慧物流科技有限公司</w:t>
            </w:r>
            <w:r>
              <w:rPr>
                <w:rFonts w:ascii="宋体" w:hAnsi="宋体" w:hint="eastAsia"/>
                <w:bCs/>
                <w:iCs/>
                <w:color w:val="000000"/>
                <w:sz w:val="24"/>
                <w:szCs w:val="22"/>
              </w:rPr>
              <w:t xml:space="preserve">  张瑞</w:t>
            </w:r>
          </w:p>
          <w:p w14:paraId="525F2EFD" w14:textId="77777777" w:rsidR="00652888" w:rsidRDefault="0061617F">
            <w:pPr>
              <w:spacing w:line="400" w:lineRule="exact"/>
              <w:rPr>
                <w:rFonts w:ascii="宋体" w:hAnsi="宋体"/>
                <w:bCs/>
                <w:iCs/>
                <w:color w:val="000000"/>
                <w:sz w:val="24"/>
                <w:szCs w:val="22"/>
              </w:rPr>
            </w:pPr>
            <w:r>
              <w:rPr>
                <w:rFonts w:ascii="宋体" w:hAnsi="宋体"/>
                <w:bCs/>
                <w:iCs/>
                <w:color w:val="000000"/>
                <w:sz w:val="24"/>
                <w:szCs w:val="22"/>
              </w:rPr>
              <w:t>上海宙澎资产管理有限公司</w:t>
            </w:r>
            <w:r>
              <w:rPr>
                <w:rFonts w:ascii="宋体" w:hAnsi="宋体" w:hint="eastAsia"/>
                <w:bCs/>
                <w:iCs/>
                <w:color w:val="000000"/>
                <w:sz w:val="24"/>
                <w:szCs w:val="22"/>
              </w:rPr>
              <w:t xml:space="preserve">  崔景新</w:t>
            </w:r>
          </w:p>
          <w:p w14:paraId="289A73FB"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上海国际信托有限公司  徐建春</w:t>
            </w:r>
          </w:p>
          <w:p w14:paraId="48603661"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 xml:space="preserve">          </w:t>
            </w:r>
          </w:p>
        </w:tc>
      </w:tr>
      <w:tr w:rsidR="00652888" w14:paraId="1F858BF6" w14:textId="77777777">
        <w:tc>
          <w:tcPr>
            <w:tcW w:w="1926" w:type="dxa"/>
            <w:tcBorders>
              <w:top w:val="single" w:sz="4" w:space="0" w:color="auto"/>
              <w:left w:val="single" w:sz="4" w:space="0" w:color="auto"/>
              <w:bottom w:val="single" w:sz="4" w:space="0" w:color="auto"/>
              <w:right w:val="single" w:sz="4" w:space="0" w:color="auto"/>
            </w:tcBorders>
          </w:tcPr>
          <w:p w14:paraId="2B9B7CBD"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时间</w:t>
            </w:r>
          </w:p>
        </w:tc>
        <w:tc>
          <w:tcPr>
            <w:tcW w:w="7254" w:type="dxa"/>
            <w:tcBorders>
              <w:top w:val="single" w:sz="4" w:space="0" w:color="auto"/>
              <w:left w:val="single" w:sz="4" w:space="0" w:color="auto"/>
              <w:bottom w:val="single" w:sz="4" w:space="0" w:color="auto"/>
              <w:right w:val="single" w:sz="4" w:space="0" w:color="auto"/>
            </w:tcBorders>
          </w:tcPr>
          <w:p w14:paraId="070D2D0A" w14:textId="4CC418AF" w:rsidR="00652888" w:rsidRDefault="0061617F" w:rsidP="000F2765">
            <w:pPr>
              <w:spacing w:line="400" w:lineRule="exact"/>
              <w:rPr>
                <w:rFonts w:ascii="宋体" w:hAnsi="宋体"/>
                <w:bCs/>
                <w:iCs/>
                <w:color w:val="000000"/>
                <w:sz w:val="24"/>
                <w:szCs w:val="22"/>
              </w:rPr>
            </w:pPr>
            <w:r>
              <w:rPr>
                <w:rFonts w:ascii="宋体" w:hAnsi="宋体" w:hint="eastAsia"/>
                <w:bCs/>
                <w:iCs/>
                <w:color w:val="000000"/>
                <w:sz w:val="24"/>
                <w:szCs w:val="22"/>
              </w:rPr>
              <w:t>2019 年</w:t>
            </w:r>
            <w:r>
              <w:rPr>
                <w:rFonts w:ascii="宋体" w:hAnsi="宋体"/>
                <w:bCs/>
                <w:iCs/>
                <w:color w:val="000000"/>
                <w:sz w:val="24"/>
                <w:szCs w:val="22"/>
              </w:rPr>
              <w:t>9</w:t>
            </w:r>
            <w:r>
              <w:rPr>
                <w:rFonts w:ascii="宋体" w:hAnsi="宋体" w:hint="eastAsia"/>
                <w:bCs/>
                <w:iCs/>
                <w:color w:val="000000"/>
                <w:sz w:val="24"/>
                <w:szCs w:val="22"/>
              </w:rPr>
              <w:t>月</w:t>
            </w:r>
            <w:r w:rsidR="000F2765">
              <w:rPr>
                <w:rFonts w:ascii="宋体" w:hAnsi="宋体"/>
                <w:bCs/>
                <w:iCs/>
                <w:color w:val="000000"/>
                <w:sz w:val="24"/>
                <w:szCs w:val="22"/>
              </w:rPr>
              <w:t>1</w:t>
            </w:r>
            <w:r w:rsidR="000F2765">
              <w:rPr>
                <w:rFonts w:ascii="宋体" w:hAnsi="宋体"/>
                <w:bCs/>
                <w:iCs/>
                <w:color w:val="000000"/>
                <w:sz w:val="24"/>
                <w:szCs w:val="22"/>
              </w:rPr>
              <w:t>8</w:t>
            </w:r>
            <w:bookmarkStart w:id="0" w:name="_GoBack"/>
            <w:bookmarkEnd w:id="0"/>
            <w:r>
              <w:rPr>
                <w:rFonts w:ascii="宋体" w:hAnsi="宋体" w:hint="eastAsia"/>
                <w:bCs/>
                <w:iCs/>
                <w:color w:val="000000"/>
                <w:sz w:val="24"/>
                <w:szCs w:val="22"/>
              </w:rPr>
              <w:t>日下午</w:t>
            </w:r>
            <w:r>
              <w:rPr>
                <w:rFonts w:ascii="宋体" w:hAnsi="宋体"/>
                <w:bCs/>
                <w:iCs/>
                <w:color w:val="000000"/>
                <w:sz w:val="24"/>
                <w:szCs w:val="22"/>
              </w:rPr>
              <w:t>2</w:t>
            </w:r>
            <w:r>
              <w:rPr>
                <w:rFonts w:ascii="宋体" w:hAnsi="宋体" w:hint="eastAsia"/>
                <w:bCs/>
                <w:iCs/>
                <w:color w:val="000000"/>
                <w:sz w:val="24"/>
                <w:szCs w:val="22"/>
              </w:rPr>
              <w:t>:</w:t>
            </w:r>
            <w:r>
              <w:rPr>
                <w:rFonts w:ascii="宋体" w:hAnsi="宋体"/>
                <w:bCs/>
                <w:iCs/>
                <w:color w:val="000000"/>
                <w:sz w:val="24"/>
                <w:szCs w:val="22"/>
              </w:rPr>
              <w:t>40</w:t>
            </w:r>
          </w:p>
        </w:tc>
      </w:tr>
      <w:tr w:rsidR="00652888" w14:paraId="0DBA37BF" w14:textId="77777777">
        <w:tc>
          <w:tcPr>
            <w:tcW w:w="1926" w:type="dxa"/>
            <w:tcBorders>
              <w:top w:val="single" w:sz="4" w:space="0" w:color="auto"/>
              <w:left w:val="single" w:sz="4" w:space="0" w:color="auto"/>
              <w:bottom w:val="single" w:sz="4" w:space="0" w:color="auto"/>
              <w:right w:val="single" w:sz="4" w:space="0" w:color="auto"/>
            </w:tcBorders>
          </w:tcPr>
          <w:p w14:paraId="6157201A"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地点</w:t>
            </w:r>
          </w:p>
        </w:tc>
        <w:tc>
          <w:tcPr>
            <w:tcW w:w="7254" w:type="dxa"/>
            <w:tcBorders>
              <w:top w:val="single" w:sz="4" w:space="0" w:color="auto"/>
              <w:left w:val="single" w:sz="4" w:space="0" w:color="auto"/>
              <w:bottom w:val="single" w:sz="4" w:space="0" w:color="auto"/>
              <w:right w:val="single" w:sz="4" w:space="0" w:color="auto"/>
            </w:tcBorders>
          </w:tcPr>
          <w:p w14:paraId="66776713"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公司3513会议室</w:t>
            </w:r>
          </w:p>
        </w:tc>
      </w:tr>
      <w:tr w:rsidR="00652888" w14:paraId="6616F6AB" w14:textId="77777777">
        <w:tc>
          <w:tcPr>
            <w:tcW w:w="1926" w:type="dxa"/>
            <w:tcBorders>
              <w:top w:val="single" w:sz="4" w:space="0" w:color="auto"/>
              <w:left w:val="single" w:sz="4" w:space="0" w:color="auto"/>
              <w:bottom w:val="single" w:sz="4" w:space="0" w:color="auto"/>
              <w:right w:val="single" w:sz="4" w:space="0" w:color="auto"/>
            </w:tcBorders>
          </w:tcPr>
          <w:p w14:paraId="3BF946D2"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上市公司接待人员姓名</w:t>
            </w:r>
          </w:p>
        </w:tc>
        <w:tc>
          <w:tcPr>
            <w:tcW w:w="7254" w:type="dxa"/>
            <w:tcBorders>
              <w:top w:val="single" w:sz="4" w:space="0" w:color="auto"/>
              <w:left w:val="single" w:sz="4" w:space="0" w:color="auto"/>
              <w:bottom w:val="single" w:sz="4" w:space="0" w:color="auto"/>
              <w:right w:val="single" w:sz="4" w:space="0" w:color="auto"/>
            </w:tcBorders>
          </w:tcPr>
          <w:p w14:paraId="651EB51D"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熊维祥 刘俞麟</w:t>
            </w:r>
          </w:p>
        </w:tc>
      </w:tr>
      <w:tr w:rsidR="00652888" w14:paraId="6A5AC125" w14:textId="77777777">
        <w:tc>
          <w:tcPr>
            <w:tcW w:w="1926" w:type="dxa"/>
            <w:tcBorders>
              <w:top w:val="single" w:sz="4" w:space="0" w:color="auto"/>
              <w:left w:val="single" w:sz="4" w:space="0" w:color="auto"/>
              <w:bottom w:val="single" w:sz="4" w:space="0" w:color="auto"/>
              <w:right w:val="single" w:sz="4" w:space="0" w:color="auto"/>
            </w:tcBorders>
            <w:vAlign w:val="center"/>
          </w:tcPr>
          <w:p w14:paraId="1A01F5DC" w14:textId="77777777" w:rsidR="00652888" w:rsidRDefault="00652888">
            <w:pPr>
              <w:spacing w:line="400" w:lineRule="exact"/>
              <w:rPr>
                <w:rFonts w:ascii="宋体" w:hAnsi="宋体"/>
                <w:bCs/>
                <w:iCs/>
                <w:color w:val="000000"/>
                <w:sz w:val="24"/>
                <w:szCs w:val="22"/>
              </w:rPr>
            </w:pPr>
          </w:p>
          <w:p w14:paraId="5841B670"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投资者关系活动主要内容介绍</w:t>
            </w:r>
          </w:p>
          <w:p w14:paraId="6C00C565" w14:textId="77777777" w:rsidR="00652888" w:rsidRDefault="00652888">
            <w:pPr>
              <w:spacing w:line="400" w:lineRule="exact"/>
              <w:rPr>
                <w:rFonts w:ascii="宋体" w:hAnsi="宋体"/>
                <w:bCs/>
                <w:iCs/>
                <w:color w:val="000000"/>
                <w:sz w:val="24"/>
                <w:szCs w:val="22"/>
              </w:rPr>
            </w:pPr>
          </w:p>
        </w:tc>
        <w:tc>
          <w:tcPr>
            <w:tcW w:w="7254" w:type="dxa"/>
            <w:tcBorders>
              <w:top w:val="single" w:sz="4" w:space="0" w:color="auto"/>
              <w:left w:val="single" w:sz="4" w:space="0" w:color="auto"/>
              <w:bottom w:val="single" w:sz="4" w:space="0" w:color="auto"/>
              <w:right w:val="single" w:sz="4" w:space="0" w:color="auto"/>
            </w:tcBorders>
          </w:tcPr>
          <w:p w14:paraId="74A1A44E" w14:textId="77777777" w:rsidR="00652888" w:rsidRDefault="0061617F">
            <w:pPr>
              <w:widowControl/>
              <w:numPr>
                <w:ilvl w:val="255"/>
                <w:numId w:val="0"/>
              </w:numPr>
              <w:spacing w:line="400" w:lineRule="exact"/>
              <w:ind w:firstLineChars="200" w:firstLine="422"/>
              <w:rPr>
                <w:rFonts w:ascii="宋体" w:hAnsi="宋体"/>
                <w:b/>
                <w:szCs w:val="22"/>
              </w:rPr>
            </w:pPr>
            <w:r>
              <w:rPr>
                <w:rFonts w:ascii="宋体" w:hAnsi="宋体" w:hint="eastAsia"/>
                <w:b/>
                <w:szCs w:val="22"/>
              </w:rPr>
              <w:t>1.公司燃煤储量情况如何，省内近期煤炭供需水平和运输途径？</w:t>
            </w:r>
          </w:p>
          <w:p w14:paraId="782944D6" w14:textId="77777777" w:rsidR="00652888" w:rsidRDefault="0061617F">
            <w:pPr>
              <w:widowControl/>
              <w:numPr>
                <w:ilvl w:val="255"/>
                <w:numId w:val="0"/>
              </w:numPr>
              <w:spacing w:line="400" w:lineRule="exact"/>
              <w:ind w:firstLine="420"/>
              <w:jc w:val="left"/>
              <w:rPr>
                <w:rFonts w:ascii="宋体" w:hAnsi="宋体"/>
                <w:szCs w:val="22"/>
              </w:rPr>
            </w:pPr>
            <w:r>
              <w:rPr>
                <w:rFonts w:ascii="宋体" w:hAnsi="宋体" w:hint="eastAsia"/>
                <w:szCs w:val="22"/>
              </w:rPr>
              <w:t>公司燃煤储量保持健康水平，以目前开机率测算，当前储量预计能够满足1个月以上的运行时长。省内目前煤炭储量应该在400-</w:t>
            </w:r>
            <w:r>
              <w:rPr>
                <w:rFonts w:ascii="宋体" w:hAnsi="宋体"/>
                <w:szCs w:val="22"/>
              </w:rPr>
              <w:t>500万吨之间</w:t>
            </w:r>
            <w:r>
              <w:rPr>
                <w:rFonts w:ascii="宋体" w:hAnsi="宋体" w:hint="eastAsia"/>
                <w:szCs w:val="22"/>
              </w:rPr>
              <w:t>，按目前统调燃煤电厂容量大约可以维持1个月左右运行时长。</w:t>
            </w:r>
          </w:p>
          <w:p w14:paraId="6242B35C" w14:textId="77777777" w:rsidR="00652888" w:rsidRDefault="0061617F">
            <w:pPr>
              <w:widowControl/>
              <w:numPr>
                <w:ilvl w:val="255"/>
                <w:numId w:val="0"/>
              </w:numPr>
              <w:spacing w:line="400" w:lineRule="exact"/>
              <w:ind w:firstLine="420"/>
              <w:jc w:val="left"/>
              <w:rPr>
                <w:rFonts w:ascii="宋体" w:hAnsi="宋体"/>
                <w:szCs w:val="22"/>
              </w:rPr>
            </w:pPr>
            <w:r>
              <w:rPr>
                <w:rFonts w:ascii="宋体" w:hAnsi="宋体" w:hint="eastAsia"/>
                <w:szCs w:val="22"/>
              </w:rPr>
              <w:t>省内近期煤炭库存比较高，一方面是由于产能置换和新矿投资，资源供给更加充足，另一方面今年进口煤同比增幅较大也增加了煤炭供给量。总体趋势来看今年省内煤炭供需基本平稳，未来在极端天气个别地区可能会出现运输困难。湖北省目前约30%的煤炭采购是通过海进江运输，约70%通过铁路运输。</w:t>
            </w:r>
          </w:p>
          <w:p w14:paraId="33E7C6BC" w14:textId="07310D39" w:rsidR="00652888" w:rsidRDefault="0061617F">
            <w:pPr>
              <w:widowControl/>
              <w:numPr>
                <w:ilvl w:val="255"/>
                <w:numId w:val="0"/>
              </w:numPr>
              <w:spacing w:line="400" w:lineRule="exact"/>
              <w:ind w:firstLineChars="200" w:firstLine="422"/>
              <w:rPr>
                <w:rFonts w:ascii="宋体" w:hAnsi="宋体"/>
                <w:b/>
                <w:szCs w:val="22"/>
              </w:rPr>
            </w:pPr>
            <w:r>
              <w:rPr>
                <w:rFonts w:ascii="宋体" w:hAnsi="宋体" w:hint="eastAsia"/>
                <w:b/>
                <w:szCs w:val="22"/>
              </w:rPr>
              <w:lastRenderedPageBreak/>
              <w:t>2.浩吉铁路即将开通，对公司的影响？公司配套的荆州煤炭铁水联运基地当前建设进展？</w:t>
            </w:r>
          </w:p>
          <w:p w14:paraId="5DBFECDE" w14:textId="7FD4F1A2" w:rsidR="00652888" w:rsidRDefault="0061617F">
            <w:pPr>
              <w:widowControl/>
              <w:numPr>
                <w:ilvl w:val="255"/>
                <w:numId w:val="0"/>
              </w:numPr>
              <w:spacing w:line="400" w:lineRule="exact"/>
              <w:ind w:firstLineChars="200" w:firstLine="420"/>
              <w:rPr>
                <w:rFonts w:ascii="宋体" w:hAnsi="宋体"/>
                <w:szCs w:val="22"/>
              </w:rPr>
            </w:pPr>
            <w:r>
              <w:rPr>
                <w:rFonts w:ascii="宋体" w:hAnsi="宋体" w:hint="eastAsia"/>
                <w:szCs w:val="22"/>
              </w:rPr>
              <w:t>浩吉铁路投运将会拓宽公司的购煤运输渠道，但目前铁路运价尚未确定，公司将根据实际运价综合测算其经济性，选取对公司最为有利的运输途径。另一方面公司投资建设的荆州煤炭铁水联运基地运营很大程度上需要蒙华铁路的运量作为基础。</w:t>
            </w:r>
          </w:p>
          <w:p w14:paraId="26EEE0EF" w14:textId="653EB7DD" w:rsidR="00652888" w:rsidRDefault="0061617F">
            <w:pPr>
              <w:widowControl/>
              <w:spacing w:line="400" w:lineRule="exact"/>
              <w:ind w:firstLine="420"/>
              <w:rPr>
                <w:rFonts w:ascii="宋体" w:hAnsi="宋体"/>
                <w:szCs w:val="22"/>
              </w:rPr>
            </w:pPr>
            <w:r>
              <w:rPr>
                <w:rFonts w:ascii="宋体" w:hAnsi="宋体" w:hint="eastAsia"/>
                <w:szCs w:val="22"/>
              </w:rPr>
              <w:t>目前荆州煤港的建设进度较预计略有延后，主要原因一是蒙华铁路配套使用的车型确定时间较晚，导致了公司无法提前确定煤炭储配基地需要配置的翻车类型，二是汛期为确保安全一定程度放缓了建设进度。按照工程目前的建设进度，预计一期工程投产时间为2020年上半年。</w:t>
            </w:r>
          </w:p>
          <w:p w14:paraId="3537F3F6" w14:textId="2787C3C4" w:rsidR="00652888" w:rsidRDefault="0061617F">
            <w:pPr>
              <w:widowControl/>
              <w:numPr>
                <w:ilvl w:val="255"/>
                <w:numId w:val="0"/>
              </w:numPr>
              <w:spacing w:line="400" w:lineRule="exact"/>
              <w:ind w:leftChars="200" w:left="420"/>
              <w:jc w:val="left"/>
              <w:rPr>
                <w:rFonts w:ascii="宋体" w:hAnsi="宋体"/>
                <w:b/>
                <w:szCs w:val="22"/>
              </w:rPr>
            </w:pPr>
            <w:r>
              <w:rPr>
                <w:rFonts w:ascii="宋体" w:hAnsi="宋体" w:hint="eastAsia"/>
                <w:b/>
                <w:szCs w:val="22"/>
              </w:rPr>
              <w:t>3</w:t>
            </w:r>
            <w:r>
              <w:rPr>
                <w:rFonts w:ascii="宋体" w:hAnsi="宋体"/>
                <w:b/>
                <w:szCs w:val="22"/>
              </w:rPr>
              <w:t>.</w:t>
            </w:r>
            <w:r>
              <w:rPr>
                <w:rFonts w:ascii="宋体" w:hAnsi="宋体" w:hint="eastAsia"/>
                <w:b/>
                <w:szCs w:val="22"/>
              </w:rPr>
              <w:t>公司火电发电量大幅提升的原因及火电板块2019年的盈利情况如何？</w:t>
            </w:r>
          </w:p>
          <w:p w14:paraId="3E96F49E" w14:textId="1E6DF871" w:rsidR="00652888" w:rsidRDefault="0061617F">
            <w:pPr>
              <w:widowControl/>
              <w:numPr>
                <w:ilvl w:val="255"/>
                <w:numId w:val="0"/>
              </w:numPr>
              <w:spacing w:line="400" w:lineRule="exact"/>
              <w:ind w:firstLineChars="200" w:firstLine="420"/>
              <w:jc w:val="left"/>
              <w:rPr>
                <w:szCs w:val="22"/>
              </w:rPr>
            </w:pPr>
            <w:r>
              <w:rPr>
                <w:szCs w:val="22"/>
              </w:rPr>
              <w:t>1</w:t>
            </w:r>
            <w:r>
              <w:rPr>
                <w:rFonts w:hint="eastAsia"/>
                <w:szCs w:val="22"/>
              </w:rPr>
              <w:t>-</w:t>
            </w:r>
            <w:r>
              <w:rPr>
                <w:szCs w:val="22"/>
              </w:rPr>
              <w:t>8</w:t>
            </w:r>
            <w:r>
              <w:rPr>
                <w:szCs w:val="22"/>
              </w:rPr>
              <w:t>月公司火力发电量</w:t>
            </w:r>
            <w:r>
              <w:rPr>
                <w:rFonts w:hint="eastAsia"/>
                <w:szCs w:val="22"/>
              </w:rPr>
              <w:t>119.20</w:t>
            </w:r>
            <w:r>
              <w:rPr>
                <w:rFonts w:hint="eastAsia"/>
                <w:szCs w:val="22"/>
              </w:rPr>
              <w:t>亿千瓦时，同比增长了</w:t>
            </w:r>
            <w:r>
              <w:rPr>
                <w:rFonts w:hint="eastAsia"/>
                <w:szCs w:val="22"/>
              </w:rPr>
              <w:t>81.25%</w:t>
            </w:r>
            <w:r>
              <w:rPr>
                <w:rFonts w:hint="eastAsia"/>
                <w:szCs w:val="22"/>
              </w:rPr>
              <w:t>。火力发电量大幅度提升一是因为公司鄂州三期两台机组在上半年陆续投产，装机规模大大提升；二是受益于省内用电需求强劲；三是因为今年全省降水偏少，水电发电同比降幅较大，带来的电力空缺主要由火电补充。</w:t>
            </w:r>
          </w:p>
          <w:p w14:paraId="4033197B" w14:textId="7AA7F8F3" w:rsidR="00652888" w:rsidRDefault="0061617F">
            <w:pPr>
              <w:widowControl/>
              <w:numPr>
                <w:ilvl w:val="255"/>
                <w:numId w:val="0"/>
              </w:numPr>
              <w:spacing w:line="400" w:lineRule="exact"/>
              <w:ind w:firstLineChars="200" w:firstLine="420"/>
              <w:jc w:val="left"/>
              <w:rPr>
                <w:szCs w:val="22"/>
              </w:rPr>
            </w:pPr>
            <w:r>
              <w:rPr>
                <w:rFonts w:hint="eastAsia"/>
                <w:szCs w:val="22"/>
              </w:rPr>
              <w:t>火电利润方面，根据目前的煤炭价格走势，预计年内剩余时间火电收益同比仍将提升，一定程度上将填补水电发电降低带来的利润下降。</w:t>
            </w:r>
          </w:p>
          <w:p w14:paraId="614080AE" w14:textId="77777777" w:rsidR="00652888" w:rsidRDefault="0061617F">
            <w:pPr>
              <w:widowControl/>
              <w:numPr>
                <w:ilvl w:val="255"/>
                <w:numId w:val="0"/>
              </w:numPr>
              <w:spacing w:line="400" w:lineRule="exact"/>
              <w:ind w:firstLineChars="200" w:firstLine="422"/>
              <w:jc w:val="left"/>
              <w:rPr>
                <w:rFonts w:ascii="宋体" w:hAnsi="宋体"/>
                <w:b/>
                <w:szCs w:val="22"/>
              </w:rPr>
            </w:pPr>
            <w:r>
              <w:rPr>
                <w:rFonts w:ascii="宋体" w:hAnsi="宋体" w:hint="eastAsia"/>
                <w:b/>
                <w:szCs w:val="22"/>
              </w:rPr>
              <w:t xml:space="preserve">4.公司水电板块部分电站上网电价处于较高水平，未来是否有下调电价的可能？ </w:t>
            </w:r>
          </w:p>
          <w:p w14:paraId="02957BBD" w14:textId="77777777" w:rsidR="00652888" w:rsidRDefault="0061617F">
            <w:pPr>
              <w:widowControl/>
              <w:numPr>
                <w:ilvl w:val="255"/>
                <w:numId w:val="0"/>
              </w:numPr>
              <w:spacing w:line="400" w:lineRule="exact"/>
              <w:ind w:firstLineChars="200" w:firstLine="420"/>
              <w:jc w:val="left"/>
              <w:rPr>
                <w:szCs w:val="22"/>
              </w:rPr>
            </w:pPr>
            <w:r>
              <w:rPr>
                <w:rFonts w:hint="eastAsia"/>
                <w:szCs w:val="22"/>
              </w:rPr>
              <w:t>公司部分</w:t>
            </w:r>
            <w:r>
              <w:rPr>
                <w:szCs w:val="22"/>
              </w:rPr>
              <w:t>水电项目</w:t>
            </w:r>
            <w:r>
              <w:rPr>
                <w:rFonts w:hint="eastAsia"/>
                <w:szCs w:val="22"/>
              </w:rPr>
              <w:t>定价</w:t>
            </w:r>
            <w:r>
              <w:rPr>
                <w:szCs w:val="22"/>
              </w:rPr>
              <w:t>采用成本加成法</w:t>
            </w:r>
            <w:r>
              <w:rPr>
                <w:rFonts w:hint="eastAsia"/>
                <w:szCs w:val="22"/>
              </w:rPr>
              <w:t>，考虑当时项目造价目前电价处于合理水平</w:t>
            </w:r>
            <w:r>
              <w:rPr>
                <w:szCs w:val="22"/>
              </w:rPr>
              <w:t>。目前</w:t>
            </w:r>
            <w:r>
              <w:rPr>
                <w:rFonts w:hint="eastAsia"/>
                <w:szCs w:val="22"/>
              </w:rPr>
              <w:t>尚</w:t>
            </w:r>
            <w:r>
              <w:rPr>
                <w:szCs w:val="22"/>
              </w:rPr>
              <w:t>未收到相关职能部门关于下调上网电价的通知</w:t>
            </w:r>
            <w:r>
              <w:rPr>
                <w:rFonts w:hint="eastAsia"/>
                <w:szCs w:val="22"/>
              </w:rPr>
              <w:t>，未来是否会下调目前无法确定。</w:t>
            </w:r>
          </w:p>
          <w:p w14:paraId="3BB8C40C" w14:textId="30037A28" w:rsidR="00652888" w:rsidRDefault="0061617F">
            <w:pPr>
              <w:widowControl/>
              <w:numPr>
                <w:ilvl w:val="255"/>
                <w:numId w:val="0"/>
              </w:numPr>
              <w:spacing w:line="400" w:lineRule="exact"/>
              <w:ind w:firstLineChars="200" w:firstLine="422"/>
              <w:jc w:val="left"/>
              <w:rPr>
                <w:rFonts w:ascii="宋体" w:hAnsi="宋体"/>
                <w:b/>
                <w:szCs w:val="22"/>
              </w:rPr>
            </w:pPr>
            <w:r>
              <w:rPr>
                <w:rFonts w:ascii="宋体" w:hAnsi="宋体" w:hint="eastAsia"/>
                <w:b/>
                <w:szCs w:val="22"/>
              </w:rPr>
              <w:t>5.公司</w:t>
            </w:r>
            <w:r w:rsidR="00C40D98">
              <w:rPr>
                <w:rFonts w:ascii="宋体" w:hAnsi="宋体" w:hint="eastAsia"/>
                <w:b/>
                <w:szCs w:val="22"/>
              </w:rPr>
              <w:t>年内</w:t>
            </w:r>
            <w:r>
              <w:rPr>
                <w:rFonts w:ascii="宋体" w:hAnsi="宋体" w:hint="eastAsia"/>
                <w:b/>
                <w:szCs w:val="22"/>
              </w:rPr>
              <w:t>有哪些新增装机项目投产？</w:t>
            </w:r>
          </w:p>
          <w:p w14:paraId="092D8B0B" w14:textId="37230FF1" w:rsidR="00652888" w:rsidRDefault="00C40D98">
            <w:pPr>
              <w:widowControl/>
              <w:numPr>
                <w:ilvl w:val="255"/>
                <w:numId w:val="0"/>
              </w:numPr>
              <w:spacing w:line="400" w:lineRule="exact"/>
              <w:ind w:firstLineChars="200" w:firstLine="420"/>
              <w:jc w:val="left"/>
              <w:rPr>
                <w:szCs w:val="22"/>
              </w:rPr>
            </w:pPr>
            <w:r>
              <w:rPr>
                <w:rFonts w:hint="eastAsia"/>
                <w:szCs w:val="22"/>
              </w:rPr>
              <w:t>年内有望投产发电的有公司</w:t>
            </w:r>
            <w:r>
              <w:rPr>
                <w:rFonts w:hint="eastAsia"/>
                <w:szCs w:val="22"/>
              </w:rPr>
              <w:t>2019</w:t>
            </w:r>
            <w:r>
              <w:rPr>
                <w:rFonts w:hint="eastAsia"/>
                <w:szCs w:val="22"/>
              </w:rPr>
              <w:t>年已核准或者备案的</w:t>
            </w:r>
            <w:r>
              <w:rPr>
                <w:rFonts w:hint="eastAsia"/>
                <w:szCs w:val="22"/>
              </w:rPr>
              <w:t>5</w:t>
            </w:r>
            <w:r>
              <w:rPr>
                <w:rFonts w:hint="eastAsia"/>
                <w:szCs w:val="22"/>
              </w:rPr>
              <w:t>个光伏项目，总装机</w:t>
            </w:r>
            <w:r>
              <w:rPr>
                <w:rFonts w:hint="eastAsia"/>
                <w:szCs w:val="22"/>
              </w:rPr>
              <w:t>19</w:t>
            </w:r>
            <w:r>
              <w:rPr>
                <w:rFonts w:hint="eastAsia"/>
                <w:szCs w:val="22"/>
              </w:rPr>
              <w:t>万千瓦。</w:t>
            </w:r>
          </w:p>
          <w:p w14:paraId="333BCDAF" w14:textId="6B697E23" w:rsidR="00652888" w:rsidRDefault="0061617F">
            <w:pPr>
              <w:widowControl/>
              <w:numPr>
                <w:ilvl w:val="255"/>
                <w:numId w:val="0"/>
              </w:numPr>
              <w:spacing w:line="400" w:lineRule="exact"/>
              <w:ind w:firstLineChars="200" w:firstLine="422"/>
              <w:jc w:val="left"/>
              <w:rPr>
                <w:rFonts w:ascii="宋体" w:hAnsi="宋体"/>
                <w:b/>
                <w:szCs w:val="22"/>
              </w:rPr>
            </w:pPr>
            <w:r>
              <w:rPr>
                <w:rFonts w:ascii="宋体" w:hAnsi="宋体" w:hint="eastAsia"/>
                <w:b/>
                <w:szCs w:val="22"/>
              </w:rPr>
              <w:t>6公司目前负债水平如何，未来是否有提高分红的可能？</w:t>
            </w:r>
          </w:p>
          <w:p w14:paraId="184E7E41" w14:textId="3F9BFCFA" w:rsidR="00652888" w:rsidRPr="00C40D98" w:rsidRDefault="0061617F">
            <w:pPr>
              <w:widowControl/>
              <w:numPr>
                <w:ilvl w:val="255"/>
                <w:numId w:val="0"/>
              </w:numPr>
              <w:spacing w:line="400" w:lineRule="exact"/>
              <w:ind w:firstLineChars="200" w:firstLine="420"/>
              <w:jc w:val="left"/>
              <w:rPr>
                <w:szCs w:val="22"/>
              </w:rPr>
            </w:pPr>
            <w:r w:rsidRPr="00C40D98">
              <w:rPr>
                <w:rFonts w:hint="eastAsia"/>
                <w:szCs w:val="22"/>
              </w:rPr>
              <w:t>截至</w:t>
            </w:r>
            <w:r w:rsidRPr="00C40D98">
              <w:rPr>
                <w:rFonts w:hint="eastAsia"/>
                <w:szCs w:val="22"/>
              </w:rPr>
              <w:t>2</w:t>
            </w:r>
            <w:r w:rsidRPr="00C40D98">
              <w:rPr>
                <w:szCs w:val="22"/>
              </w:rPr>
              <w:t>019</w:t>
            </w:r>
            <w:r w:rsidRPr="00C40D98">
              <w:rPr>
                <w:szCs w:val="22"/>
              </w:rPr>
              <w:t>年</w:t>
            </w:r>
            <w:r w:rsidRPr="00C40D98">
              <w:rPr>
                <w:rFonts w:hint="eastAsia"/>
                <w:szCs w:val="22"/>
              </w:rPr>
              <w:t>6</w:t>
            </w:r>
            <w:r w:rsidRPr="00C40D98">
              <w:rPr>
                <w:rFonts w:hint="eastAsia"/>
                <w:szCs w:val="22"/>
              </w:rPr>
              <w:t>月</w:t>
            </w:r>
            <w:r w:rsidRPr="00C40D98">
              <w:rPr>
                <w:rFonts w:hint="eastAsia"/>
                <w:szCs w:val="22"/>
              </w:rPr>
              <w:t>30</w:t>
            </w:r>
            <w:r w:rsidRPr="00C40D98">
              <w:rPr>
                <w:rFonts w:hint="eastAsia"/>
                <w:szCs w:val="22"/>
              </w:rPr>
              <w:t>日，公司</w:t>
            </w:r>
            <w:r w:rsidRPr="00C40D98">
              <w:rPr>
                <w:szCs w:val="22"/>
              </w:rPr>
              <w:t>资产负债率</w:t>
            </w:r>
            <w:r w:rsidRPr="00C40D98">
              <w:rPr>
                <w:rFonts w:hint="eastAsia"/>
                <w:szCs w:val="22"/>
              </w:rPr>
              <w:t>为</w:t>
            </w:r>
            <w:r w:rsidRPr="00C40D98">
              <w:rPr>
                <w:rFonts w:hint="eastAsia"/>
                <w:szCs w:val="22"/>
              </w:rPr>
              <w:t>48.61%</w:t>
            </w:r>
            <w:r w:rsidRPr="00C40D98">
              <w:rPr>
                <w:rFonts w:hint="eastAsia"/>
                <w:szCs w:val="22"/>
              </w:rPr>
              <w:t>，同比提升</w:t>
            </w:r>
            <w:r w:rsidRPr="00C40D98">
              <w:rPr>
                <w:rFonts w:hint="eastAsia"/>
                <w:szCs w:val="22"/>
              </w:rPr>
              <w:t>9.53%</w:t>
            </w:r>
            <w:r w:rsidRPr="00C40D98">
              <w:rPr>
                <w:rFonts w:hint="eastAsia"/>
                <w:szCs w:val="22"/>
              </w:rPr>
              <w:t>，主要是因为收购查格亚项目增加负债所致。</w:t>
            </w:r>
          </w:p>
          <w:p w14:paraId="164E48A0" w14:textId="5D349081" w:rsidR="00652888" w:rsidRPr="00C40D98" w:rsidRDefault="0061617F">
            <w:pPr>
              <w:widowControl/>
              <w:numPr>
                <w:ilvl w:val="255"/>
                <w:numId w:val="0"/>
              </w:numPr>
              <w:spacing w:line="400" w:lineRule="exact"/>
              <w:ind w:firstLineChars="200" w:firstLine="420"/>
              <w:jc w:val="left"/>
              <w:rPr>
                <w:szCs w:val="22"/>
              </w:rPr>
            </w:pPr>
            <w:r w:rsidRPr="00C40D98">
              <w:rPr>
                <w:rFonts w:hint="eastAsia"/>
                <w:szCs w:val="22"/>
              </w:rPr>
              <w:t>公司</w:t>
            </w:r>
            <w:r w:rsidRPr="00C40D98">
              <w:rPr>
                <w:rFonts w:hint="eastAsia"/>
                <w:szCs w:val="22"/>
              </w:rPr>
              <w:t>2018</w:t>
            </w:r>
            <w:r w:rsidRPr="00C40D98">
              <w:rPr>
                <w:rFonts w:hint="eastAsia"/>
                <w:szCs w:val="22"/>
              </w:rPr>
              <w:t>年度分红比例约</w:t>
            </w:r>
            <w:r w:rsidRPr="00C40D98">
              <w:rPr>
                <w:rFonts w:hint="eastAsia"/>
                <w:szCs w:val="22"/>
              </w:rPr>
              <w:t>40</w:t>
            </w:r>
            <w:r w:rsidR="001C2E08">
              <w:rPr>
                <w:szCs w:val="22"/>
              </w:rPr>
              <w:t>.</w:t>
            </w:r>
            <w:r w:rsidRPr="00C40D98">
              <w:rPr>
                <w:szCs w:val="22"/>
              </w:rPr>
              <w:t>7</w:t>
            </w:r>
            <w:r w:rsidRPr="00C40D98">
              <w:rPr>
                <w:rFonts w:hint="eastAsia"/>
                <w:szCs w:val="22"/>
              </w:rPr>
              <w:t>%</w:t>
            </w:r>
            <w:r w:rsidRPr="00C40D98">
              <w:rPr>
                <w:rFonts w:hint="eastAsia"/>
                <w:szCs w:val="22"/>
              </w:rPr>
              <w:t>，较上年度提升约</w:t>
            </w:r>
            <w:r w:rsidRPr="00C40D98">
              <w:rPr>
                <w:rFonts w:hint="eastAsia"/>
                <w:szCs w:val="22"/>
              </w:rPr>
              <w:t>10%</w:t>
            </w:r>
            <w:r w:rsidRPr="00C40D98">
              <w:rPr>
                <w:rFonts w:hint="eastAsia"/>
                <w:szCs w:val="22"/>
              </w:rPr>
              <w:t>，该分红比例处于行业中上水平。公司重视投资者回报，会保持现金分红水平的相对稳定，未来是否进一步提高分红水平要根据公司的盈利情况及资本开支情况确定。</w:t>
            </w:r>
          </w:p>
          <w:p w14:paraId="5444E0C4" w14:textId="4F285162" w:rsidR="00652888" w:rsidRDefault="0061617F">
            <w:pPr>
              <w:widowControl/>
              <w:numPr>
                <w:ilvl w:val="255"/>
                <w:numId w:val="0"/>
              </w:numPr>
              <w:spacing w:line="400" w:lineRule="exact"/>
              <w:ind w:firstLineChars="200" w:firstLine="422"/>
              <w:jc w:val="left"/>
              <w:rPr>
                <w:rFonts w:ascii="宋体" w:hAnsi="宋体"/>
                <w:b/>
                <w:szCs w:val="22"/>
              </w:rPr>
            </w:pPr>
            <w:r>
              <w:rPr>
                <w:rFonts w:ascii="宋体" w:hAnsi="宋体" w:hint="eastAsia"/>
                <w:b/>
                <w:szCs w:val="22"/>
              </w:rPr>
              <w:t>7.公司市场交易电量和电价情况？</w:t>
            </w:r>
          </w:p>
          <w:p w14:paraId="716F9358" w14:textId="58C6FEE8" w:rsidR="00652888" w:rsidRPr="00C40D98" w:rsidRDefault="0061617F">
            <w:pPr>
              <w:widowControl/>
              <w:numPr>
                <w:ilvl w:val="255"/>
                <w:numId w:val="0"/>
              </w:numPr>
              <w:spacing w:line="400" w:lineRule="exact"/>
              <w:ind w:firstLineChars="200" w:firstLine="420"/>
              <w:jc w:val="left"/>
              <w:rPr>
                <w:szCs w:val="22"/>
              </w:rPr>
            </w:pPr>
            <w:r w:rsidRPr="00C40D98">
              <w:rPr>
                <w:rFonts w:hint="eastAsia"/>
                <w:szCs w:val="22"/>
              </w:rPr>
              <w:lastRenderedPageBreak/>
              <w:t>截至</w:t>
            </w:r>
            <w:r w:rsidRPr="00C40D98">
              <w:rPr>
                <w:szCs w:val="22"/>
              </w:rPr>
              <w:t>8</w:t>
            </w:r>
            <w:r w:rsidRPr="00C40D98">
              <w:rPr>
                <w:rFonts w:hint="eastAsia"/>
                <w:szCs w:val="22"/>
              </w:rPr>
              <w:t>月底，公司参与湖北省第一批年度电力市场化交易已签订双边协议电量</w:t>
            </w:r>
            <w:r w:rsidRPr="00C40D98">
              <w:rPr>
                <w:rFonts w:hint="eastAsia"/>
                <w:szCs w:val="22"/>
              </w:rPr>
              <w:t>64.8</w:t>
            </w:r>
            <w:r w:rsidRPr="00C40D98">
              <w:rPr>
                <w:rFonts w:hint="eastAsia"/>
                <w:szCs w:val="22"/>
              </w:rPr>
              <w:t>亿千瓦时，其中火电</w:t>
            </w:r>
            <w:r w:rsidRPr="00C40D98">
              <w:rPr>
                <w:rFonts w:hint="eastAsia"/>
                <w:szCs w:val="22"/>
              </w:rPr>
              <w:t>52.36</w:t>
            </w:r>
            <w:r w:rsidRPr="00C40D98">
              <w:rPr>
                <w:rFonts w:hint="eastAsia"/>
                <w:szCs w:val="22"/>
              </w:rPr>
              <w:t>亿千瓦时，占比</w:t>
            </w:r>
            <w:r w:rsidRPr="00C40D98">
              <w:rPr>
                <w:rFonts w:hint="eastAsia"/>
                <w:szCs w:val="22"/>
              </w:rPr>
              <w:t>80.8%</w:t>
            </w:r>
            <w:r w:rsidRPr="00C40D98">
              <w:rPr>
                <w:rFonts w:hint="eastAsia"/>
                <w:szCs w:val="22"/>
              </w:rPr>
              <w:t>；水电</w:t>
            </w:r>
            <w:r w:rsidRPr="00C40D98">
              <w:rPr>
                <w:rFonts w:hint="eastAsia"/>
                <w:szCs w:val="22"/>
              </w:rPr>
              <w:t>12.44</w:t>
            </w:r>
            <w:r w:rsidRPr="00C40D98">
              <w:rPr>
                <w:rFonts w:hint="eastAsia"/>
                <w:szCs w:val="22"/>
              </w:rPr>
              <w:t>亿千瓦时，占比</w:t>
            </w:r>
            <w:r w:rsidRPr="00C40D98">
              <w:rPr>
                <w:rFonts w:hint="eastAsia"/>
                <w:szCs w:val="22"/>
              </w:rPr>
              <w:t>19.2%</w:t>
            </w:r>
            <w:r w:rsidRPr="00C40D98">
              <w:rPr>
                <w:rFonts w:hint="eastAsia"/>
                <w:szCs w:val="22"/>
              </w:rPr>
              <w:t>，交易电折价较</w:t>
            </w:r>
            <w:r w:rsidRPr="00C40D98">
              <w:rPr>
                <w:rFonts w:hint="eastAsia"/>
                <w:szCs w:val="22"/>
              </w:rPr>
              <w:t>2018</w:t>
            </w:r>
            <w:r w:rsidRPr="00C40D98">
              <w:rPr>
                <w:rFonts w:hint="eastAsia"/>
                <w:szCs w:val="22"/>
              </w:rPr>
              <w:t>年有所收窄。</w:t>
            </w:r>
          </w:p>
          <w:p w14:paraId="73BE65F8" w14:textId="7BBA97FC" w:rsidR="00652888" w:rsidRDefault="00652888">
            <w:pPr>
              <w:widowControl/>
              <w:numPr>
                <w:ilvl w:val="255"/>
                <w:numId w:val="0"/>
              </w:numPr>
              <w:spacing w:line="400" w:lineRule="exact"/>
              <w:ind w:firstLineChars="200" w:firstLine="422"/>
              <w:jc w:val="left"/>
              <w:rPr>
                <w:rFonts w:ascii="宋体" w:hAnsi="宋体"/>
                <w:b/>
                <w:szCs w:val="22"/>
              </w:rPr>
            </w:pPr>
          </w:p>
        </w:tc>
      </w:tr>
      <w:tr w:rsidR="00652888" w14:paraId="126E611A" w14:textId="77777777">
        <w:tc>
          <w:tcPr>
            <w:tcW w:w="1926" w:type="dxa"/>
            <w:tcBorders>
              <w:top w:val="single" w:sz="4" w:space="0" w:color="auto"/>
              <w:left w:val="single" w:sz="4" w:space="0" w:color="auto"/>
              <w:bottom w:val="single" w:sz="4" w:space="0" w:color="auto"/>
              <w:right w:val="single" w:sz="4" w:space="0" w:color="auto"/>
            </w:tcBorders>
            <w:vAlign w:val="center"/>
          </w:tcPr>
          <w:p w14:paraId="36B09191"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lastRenderedPageBreak/>
              <w:t>附件清单（如有）</w:t>
            </w:r>
          </w:p>
        </w:tc>
        <w:tc>
          <w:tcPr>
            <w:tcW w:w="7254" w:type="dxa"/>
            <w:tcBorders>
              <w:top w:val="single" w:sz="4" w:space="0" w:color="auto"/>
              <w:left w:val="single" w:sz="4" w:space="0" w:color="auto"/>
              <w:bottom w:val="single" w:sz="4" w:space="0" w:color="auto"/>
              <w:right w:val="single" w:sz="4" w:space="0" w:color="auto"/>
            </w:tcBorders>
          </w:tcPr>
          <w:p w14:paraId="2ECD3B72"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无</w:t>
            </w:r>
          </w:p>
        </w:tc>
      </w:tr>
      <w:tr w:rsidR="00652888" w14:paraId="24DEC294" w14:textId="77777777">
        <w:tc>
          <w:tcPr>
            <w:tcW w:w="1926" w:type="dxa"/>
            <w:tcBorders>
              <w:top w:val="single" w:sz="4" w:space="0" w:color="auto"/>
              <w:left w:val="single" w:sz="4" w:space="0" w:color="auto"/>
              <w:bottom w:val="single" w:sz="4" w:space="0" w:color="auto"/>
              <w:right w:val="single" w:sz="4" w:space="0" w:color="auto"/>
            </w:tcBorders>
            <w:vAlign w:val="center"/>
          </w:tcPr>
          <w:p w14:paraId="2F8FF05F"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日期</w:t>
            </w:r>
          </w:p>
        </w:tc>
        <w:tc>
          <w:tcPr>
            <w:tcW w:w="7254" w:type="dxa"/>
            <w:tcBorders>
              <w:top w:val="single" w:sz="4" w:space="0" w:color="auto"/>
              <w:left w:val="single" w:sz="4" w:space="0" w:color="auto"/>
              <w:bottom w:val="single" w:sz="4" w:space="0" w:color="auto"/>
              <w:right w:val="single" w:sz="4" w:space="0" w:color="auto"/>
            </w:tcBorders>
          </w:tcPr>
          <w:p w14:paraId="400542C1" w14:textId="77777777" w:rsidR="00652888" w:rsidRDefault="0061617F">
            <w:pPr>
              <w:spacing w:line="400" w:lineRule="exact"/>
              <w:rPr>
                <w:rFonts w:ascii="宋体" w:hAnsi="宋体"/>
                <w:bCs/>
                <w:iCs/>
                <w:color w:val="000000"/>
                <w:sz w:val="24"/>
                <w:szCs w:val="22"/>
              </w:rPr>
            </w:pPr>
            <w:r>
              <w:rPr>
                <w:rFonts w:ascii="宋体" w:hAnsi="宋体" w:hint="eastAsia"/>
                <w:bCs/>
                <w:iCs/>
                <w:color w:val="000000"/>
                <w:sz w:val="24"/>
                <w:szCs w:val="22"/>
              </w:rPr>
              <w:t>2019-</w:t>
            </w:r>
            <w:r>
              <w:rPr>
                <w:rFonts w:ascii="宋体" w:hAnsi="宋体"/>
                <w:bCs/>
                <w:iCs/>
                <w:color w:val="000000"/>
                <w:sz w:val="24"/>
                <w:szCs w:val="22"/>
              </w:rPr>
              <w:t>9</w:t>
            </w:r>
            <w:r>
              <w:rPr>
                <w:rFonts w:ascii="宋体" w:hAnsi="宋体" w:hint="eastAsia"/>
                <w:bCs/>
                <w:iCs/>
                <w:color w:val="000000"/>
                <w:sz w:val="24"/>
                <w:szCs w:val="22"/>
              </w:rPr>
              <w:t>-</w:t>
            </w:r>
            <w:r>
              <w:rPr>
                <w:rFonts w:ascii="宋体" w:hAnsi="宋体"/>
                <w:bCs/>
                <w:iCs/>
                <w:color w:val="000000"/>
                <w:sz w:val="24"/>
                <w:szCs w:val="22"/>
              </w:rPr>
              <w:t>19</w:t>
            </w:r>
          </w:p>
        </w:tc>
      </w:tr>
    </w:tbl>
    <w:p w14:paraId="10DB60CA" w14:textId="77777777" w:rsidR="00652888" w:rsidRDefault="00652888"/>
    <w:sectPr w:rsidR="0065288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ED6C" w14:textId="77777777" w:rsidR="005A1791" w:rsidRDefault="005A1791" w:rsidP="001C2E08">
      <w:r>
        <w:separator/>
      </w:r>
    </w:p>
  </w:endnote>
  <w:endnote w:type="continuationSeparator" w:id="0">
    <w:p w14:paraId="2A7AF932" w14:textId="77777777" w:rsidR="005A1791" w:rsidRDefault="005A1791" w:rsidP="001C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287" w:usb1="38CF7CFA" w:usb2="00000016" w:usb3="00000000" w:csb0="0004000F" w:csb1="00000000"/>
  </w:font>
  <w:font w:name="等线">
    <w:altName w:val="DengXian"/>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92F34" w14:textId="77777777" w:rsidR="005A1791" w:rsidRDefault="005A1791" w:rsidP="001C2E08">
      <w:r>
        <w:separator/>
      </w:r>
    </w:p>
  </w:footnote>
  <w:footnote w:type="continuationSeparator" w:id="0">
    <w:p w14:paraId="353AF967" w14:textId="77777777" w:rsidR="005A1791" w:rsidRDefault="005A1791" w:rsidP="001C2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1CA"/>
    <w:rsid w:val="00030366"/>
    <w:rsid w:val="0003340E"/>
    <w:rsid w:val="0004651D"/>
    <w:rsid w:val="00064B24"/>
    <w:rsid w:val="000902C1"/>
    <w:rsid w:val="000E4FB0"/>
    <w:rsid w:val="000E78A7"/>
    <w:rsid w:val="000F2765"/>
    <w:rsid w:val="000F6E03"/>
    <w:rsid w:val="001209B7"/>
    <w:rsid w:val="00126E24"/>
    <w:rsid w:val="00132704"/>
    <w:rsid w:val="00132E9B"/>
    <w:rsid w:val="00144AF4"/>
    <w:rsid w:val="00171FE0"/>
    <w:rsid w:val="00172A27"/>
    <w:rsid w:val="001746B4"/>
    <w:rsid w:val="00194B7D"/>
    <w:rsid w:val="001B6345"/>
    <w:rsid w:val="001B727B"/>
    <w:rsid w:val="001C2E08"/>
    <w:rsid w:val="001C4DC5"/>
    <w:rsid w:val="001F64EF"/>
    <w:rsid w:val="00272A50"/>
    <w:rsid w:val="00283851"/>
    <w:rsid w:val="002B496C"/>
    <w:rsid w:val="002B516E"/>
    <w:rsid w:val="002C15D1"/>
    <w:rsid w:val="002D2DA2"/>
    <w:rsid w:val="002E02DD"/>
    <w:rsid w:val="002F1D04"/>
    <w:rsid w:val="002F4B3D"/>
    <w:rsid w:val="00301B13"/>
    <w:rsid w:val="00305863"/>
    <w:rsid w:val="00316220"/>
    <w:rsid w:val="00321A5C"/>
    <w:rsid w:val="003261EB"/>
    <w:rsid w:val="00360044"/>
    <w:rsid w:val="003619BE"/>
    <w:rsid w:val="00387C4E"/>
    <w:rsid w:val="003A0347"/>
    <w:rsid w:val="003B6696"/>
    <w:rsid w:val="003D64AC"/>
    <w:rsid w:val="003D6BDA"/>
    <w:rsid w:val="003F1DC2"/>
    <w:rsid w:val="003F443D"/>
    <w:rsid w:val="00403AE4"/>
    <w:rsid w:val="00432EA9"/>
    <w:rsid w:val="004344BD"/>
    <w:rsid w:val="00442408"/>
    <w:rsid w:val="00454800"/>
    <w:rsid w:val="00454ADF"/>
    <w:rsid w:val="004619DA"/>
    <w:rsid w:val="00466BAA"/>
    <w:rsid w:val="00477F81"/>
    <w:rsid w:val="004928C9"/>
    <w:rsid w:val="004B28A3"/>
    <w:rsid w:val="004B57FF"/>
    <w:rsid w:val="004E06C2"/>
    <w:rsid w:val="004E3855"/>
    <w:rsid w:val="004F1476"/>
    <w:rsid w:val="004F7359"/>
    <w:rsid w:val="00535047"/>
    <w:rsid w:val="00563965"/>
    <w:rsid w:val="00572568"/>
    <w:rsid w:val="00575F87"/>
    <w:rsid w:val="005A1791"/>
    <w:rsid w:val="005A6211"/>
    <w:rsid w:val="005B464C"/>
    <w:rsid w:val="005C7354"/>
    <w:rsid w:val="005C7709"/>
    <w:rsid w:val="005D7239"/>
    <w:rsid w:val="005F045B"/>
    <w:rsid w:val="005F199A"/>
    <w:rsid w:val="005F2698"/>
    <w:rsid w:val="00603433"/>
    <w:rsid w:val="0061617F"/>
    <w:rsid w:val="006337D6"/>
    <w:rsid w:val="00641923"/>
    <w:rsid w:val="00643464"/>
    <w:rsid w:val="00645B35"/>
    <w:rsid w:val="00652888"/>
    <w:rsid w:val="006648CD"/>
    <w:rsid w:val="00677D73"/>
    <w:rsid w:val="006A16CC"/>
    <w:rsid w:val="006A42F3"/>
    <w:rsid w:val="006B1AA4"/>
    <w:rsid w:val="006B319D"/>
    <w:rsid w:val="006B69B6"/>
    <w:rsid w:val="006B73D2"/>
    <w:rsid w:val="006C5646"/>
    <w:rsid w:val="006C5FA6"/>
    <w:rsid w:val="006D620A"/>
    <w:rsid w:val="006E3851"/>
    <w:rsid w:val="006E3A7F"/>
    <w:rsid w:val="006F02AC"/>
    <w:rsid w:val="006F267E"/>
    <w:rsid w:val="0070184B"/>
    <w:rsid w:val="00704488"/>
    <w:rsid w:val="00706DEE"/>
    <w:rsid w:val="00714945"/>
    <w:rsid w:val="007409F9"/>
    <w:rsid w:val="00743EC5"/>
    <w:rsid w:val="00754C79"/>
    <w:rsid w:val="007753E6"/>
    <w:rsid w:val="00777850"/>
    <w:rsid w:val="00797580"/>
    <w:rsid w:val="007A2BE9"/>
    <w:rsid w:val="007B0B08"/>
    <w:rsid w:val="007B3C11"/>
    <w:rsid w:val="007B418B"/>
    <w:rsid w:val="007D1440"/>
    <w:rsid w:val="007E0A72"/>
    <w:rsid w:val="0082540F"/>
    <w:rsid w:val="00831957"/>
    <w:rsid w:val="008424D8"/>
    <w:rsid w:val="00881797"/>
    <w:rsid w:val="008871F3"/>
    <w:rsid w:val="008C686D"/>
    <w:rsid w:val="008D5D9E"/>
    <w:rsid w:val="008D735C"/>
    <w:rsid w:val="00900E58"/>
    <w:rsid w:val="009171A4"/>
    <w:rsid w:val="00947B6C"/>
    <w:rsid w:val="009507BF"/>
    <w:rsid w:val="00953B97"/>
    <w:rsid w:val="0097351E"/>
    <w:rsid w:val="00977263"/>
    <w:rsid w:val="009A37B9"/>
    <w:rsid w:val="009B4C78"/>
    <w:rsid w:val="009C7910"/>
    <w:rsid w:val="009F4769"/>
    <w:rsid w:val="009F4819"/>
    <w:rsid w:val="00A04069"/>
    <w:rsid w:val="00A05D56"/>
    <w:rsid w:val="00A07471"/>
    <w:rsid w:val="00A34693"/>
    <w:rsid w:val="00A4507F"/>
    <w:rsid w:val="00A450ED"/>
    <w:rsid w:val="00A57A98"/>
    <w:rsid w:val="00A65668"/>
    <w:rsid w:val="00A85218"/>
    <w:rsid w:val="00A867A1"/>
    <w:rsid w:val="00AA1CBB"/>
    <w:rsid w:val="00AC3B5C"/>
    <w:rsid w:val="00AC7BC1"/>
    <w:rsid w:val="00AD120E"/>
    <w:rsid w:val="00AD45B2"/>
    <w:rsid w:val="00B16B96"/>
    <w:rsid w:val="00B2641F"/>
    <w:rsid w:val="00B56F78"/>
    <w:rsid w:val="00B5709B"/>
    <w:rsid w:val="00B72367"/>
    <w:rsid w:val="00B81B95"/>
    <w:rsid w:val="00B86A4A"/>
    <w:rsid w:val="00BA0B55"/>
    <w:rsid w:val="00BC25C2"/>
    <w:rsid w:val="00BE696B"/>
    <w:rsid w:val="00C27FEE"/>
    <w:rsid w:val="00C40D98"/>
    <w:rsid w:val="00C42A4E"/>
    <w:rsid w:val="00C44866"/>
    <w:rsid w:val="00C50985"/>
    <w:rsid w:val="00C66A83"/>
    <w:rsid w:val="00C73C85"/>
    <w:rsid w:val="00CB001C"/>
    <w:rsid w:val="00CB5D1B"/>
    <w:rsid w:val="00CC29FE"/>
    <w:rsid w:val="00CF04A9"/>
    <w:rsid w:val="00D04354"/>
    <w:rsid w:val="00D12255"/>
    <w:rsid w:val="00D205E2"/>
    <w:rsid w:val="00D241CE"/>
    <w:rsid w:val="00D31927"/>
    <w:rsid w:val="00D442F6"/>
    <w:rsid w:val="00D47A01"/>
    <w:rsid w:val="00D619B8"/>
    <w:rsid w:val="00D73F0F"/>
    <w:rsid w:val="00DA4096"/>
    <w:rsid w:val="00DC706E"/>
    <w:rsid w:val="00DF522B"/>
    <w:rsid w:val="00E10AFB"/>
    <w:rsid w:val="00E10CD8"/>
    <w:rsid w:val="00E359B0"/>
    <w:rsid w:val="00E54020"/>
    <w:rsid w:val="00E73554"/>
    <w:rsid w:val="00E75BDF"/>
    <w:rsid w:val="00E76F91"/>
    <w:rsid w:val="00E879F4"/>
    <w:rsid w:val="00E87C7A"/>
    <w:rsid w:val="00EC0536"/>
    <w:rsid w:val="00EC1EAA"/>
    <w:rsid w:val="00F05E01"/>
    <w:rsid w:val="00F2136B"/>
    <w:rsid w:val="00F216D6"/>
    <w:rsid w:val="00F216E1"/>
    <w:rsid w:val="00F40060"/>
    <w:rsid w:val="00F40767"/>
    <w:rsid w:val="00F740BE"/>
    <w:rsid w:val="00F76BA8"/>
    <w:rsid w:val="00F804B4"/>
    <w:rsid w:val="00F83DB0"/>
    <w:rsid w:val="00F85027"/>
    <w:rsid w:val="00F86F6F"/>
    <w:rsid w:val="00F900B4"/>
    <w:rsid w:val="00FD0674"/>
    <w:rsid w:val="00FD2A28"/>
    <w:rsid w:val="00FE11F5"/>
    <w:rsid w:val="00FF0061"/>
    <w:rsid w:val="00FF5756"/>
    <w:rsid w:val="040F5900"/>
    <w:rsid w:val="04500854"/>
    <w:rsid w:val="08B13570"/>
    <w:rsid w:val="0A9E5DFA"/>
    <w:rsid w:val="0AA714FB"/>
    <w:rsid w:val="0B556D21"/>
    <w:rsid w:val="0B7F63F0"/>
    <w:rsid w:val="0CAC567F"/>
    <w:rsid w:val="0E1D5EAD"/>
    <w:rsid w:val="0FAA32ED"/>
    <w:rsid w:val="0FEF3DDD"/>
    <w:rsid w:val="12E94E58"/>
    <w:rsid w:val="14977BD0"/>
    <w:rsid w:val="15663419"/>
    <w:rsid w:val="16120D1B"/>
    <w:rsid w:val="161813D5"/>
    <w:rsid w:val="168A7E92"/>
    <w:rsid w:val="180F30C2"/>
    <w:rsid w:val="18181D3F"/>
    <w:rsid w:val="1933115E"/>
    <w:rsid w:val="1E652623"/>
    <w:rsid w:val="1ED003BB"/>
    <w:rsid w:val="1FD56283"/>
    <w:rsid w:val="1FD64236"/>
    <w:rsid w:val="20E00BEE"/>
    <w:rsid w:val="217861C8"/>
    <w:rsid w:val="236C17E2"/>
    <w:rsid w:val="29C47474"/>
    <w:rsid w:val="2A072A03"/>
    <w:rsid w:val="2BA75B28"/>
    <w:rsid w:val="2C6F0806"/>
    <w:rsid w:val="2CBD3C19"/>
    <w:rsid w:val="2DF853E9"/>
    <w:rsid w:val="2EB91EAC"/>
    <w:rsid w:val="2F680110"/>
    <w:rsid w:val="301A5B36"/>
    <w:rsid w:val="337D34D0"/>
    <w:rsid w:val="359422AD"/>
    <w:rsid w:val="369041A2"/>
    <w:rsid w:val="38576D7B"/>
    <w:rsid w:val="39BA7E55"/>
    <w:rsid w:val="39F17B77"/>
    <w:rsid w:val="3ABC2569"/>
    <w:rsid w:val="3C5361FA"/>
    <w:rsid w:val="3CFD3DB0"/>
    <w:rsid w:val="3DB12CA2"/>
    <w:rsid w:val="3FE12DC8"/>
    <w:rsid w:val="405A17D6"/>
    <w:rsid w:val="42F45E71"/>
    <w:rsid w:val="45393CA9"/>
    <w:rsid w:val="49A03FFE"/>
    <w:rsid w:val="4AC54866"/>
    <w:rsid w:val="4C8C7BE4"/>
    <w:rsid w:val="4D726331"/>
    <w:rsid w:val="4D802CAC"/>
    <w:rsid w:val="4EA17AD9"/>
    <w:rsid w:val="4FEF1779"/>
    <w:rsid w:val="51F73C21"/>
    <w:rsid w:val="533D0346"/>
    <w:rsid w:val="53BB4568"/>
    <w:rsid w:val="5527474F"/>
    <w:rsid w:val="56B01F89"/>
    <w:rsid w:val="57A34E50"/>
    <w:rsid w:val="582A4370"/>
    <w:rsid w:val="5BB73E3C"/>
    <w:rsid w:val="622069AF"/>
    <w:rsid w:val="632A1853"/>
    <w:rsid w:val="640A18FB"/>
    <w:rsid w:val="667755C3"/>
    <w:rsid w:val="67012229"/>
    <w:rsid w:val="675E4542"/>
    <w:rsid w:val="68590E6A"/>
    <w:rsid w:val="69D665C6"/>
    <w:rsid w:val="6BEC6B76"/>
    <w:rsid w:val="6C8F7B17"/>
    <w:rsid w:val="714F383B"/>
    <w:rsid w:val="73860DF0"/>
    <w:rsid w:val="749C5D3F"/>
    <w:rsid w:val="74B71ED3"/>
    <w:rsid w:val="752E1364"/>
    <w:rsid w:val="762B3EF2"/>
    <w:rsid w:val="77214C34"/>
    <w:rsid w:val="7ED61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A848B-2B1C-4D33-8A10-09806E44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paragraph" w:styleId="5">
    <w:name w:val="heading 5"/>
    <w:basedOn w:val="a"/>
    <w:next w:val="a"/>
    <w:uiPriority w:val="9"/>
    <w:semiHidden/>
    <w:unhideWhenUsed/>
    <w:qFormat/>
    <w:pPr>
      <w:spacing w:beforeAutospacing="1"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jc w:val="left"/>
    </w:pPr>
    <w:rPr>
      <w:kern w:val="0"/>
      <w:sz w:val="24"/>
    </w:rPr>
  </w:style>
  <w:style w:type="character" w:styleId="a8">
    <w:name w:val="Strong"/>
    <w:basedOn w:val="a0"/>
    <w:uiPriority w:val="22"/>
    <w:qFormat/>
  </w:style>
  <w:style w:type="character" w:styleId="a9">
    <w:name w:val="FollowedHyperlink"/>
    <w:basedOn w:val="a0"/>
    <w:uiPriority w:val="99"/>
    <w:semiHidden/>
    <w:unhideWhenUsed/>
    <w:qFormat/>
    <w:rPr>
      <w:color w:val="543019"/>
      <w:u w:val="none"/>
    </w:rPr>
  </w:style>
  <w:style w:type="character" w:styleId="aa">
    <w:name w:val="Emphasis"/>
    <w:basedOn w:val="a0"/>
    <w:uiPriority w:val="20"/>
    <w:qFormat/>
  </w:style>
  <w:style w:type="character" w:styleId="HTML">
    <w:name w:val="HTML Definition"/>
    <w:basedOn w:val="a0"/>
    <w:uiPriority w:val="99"/>
    <w:semiHidden/>
    <w:unhideWhenUsed/>
    <w:qFormat/>
  </w:style>
  <w:style w:type="character" w:styleId="HTML0">
    <w:name w:val="HTML Typewriter"/>
    <w:basedOn w:val="a0"/>
    <w:uiPriority w:val="99"/>
    <w:semiHidden/>
    <w:unhideWhenUsed/>
    <w:qFormat/>
    <w:rPr>
      <w:rFonts w:ascii="monospace" w:eastAsia="monospace" w:hAnsi="monospace" w:cs="monospace"/>
      <w:sz w:val="20"/>
    </w:rPr>
  </w:style>
  <w:style w:type="character" w:styleId="HTML1">
    <w:name w:val="HTML Acronym"/>
    <w:basedOn w:val="a0"/>
    <w:uiPriority w:val="99"/>
    <w:semiHidden/>
    <w:unhideWhenUsed/>
    <w:qFormat/>
  </w:style>
  <w:style w:type="character" w:styleId="HTML2">
    <w:name w:val="HTML Variable"/>
    <w:basedOn w:val="a0"/>
    <w:uiPriority w:val="99"/>
    <w:semiHidden/>
    <w:unhideWhenUsed/>
    <w:qFormat/>
  </w:style>
  <w:style w:type="character" w:styleId="ab">
    <w:name w:val="Hyperlink"/>
    <w:basedOn w:val="a0"/>
    <w:uiPriority w:val="99"/>
    <w:semiHidden/>
    <w:unhideWhenUsed/>
    <w:qFormat/>
    <w:rPr>
      <w:color w:val="543019"/>
      <w:u w:val="none"/>
    </w:rPr>
  </w:style>
  <w:style w:type="character" w:styleId="HTML3">
    <w:name w:val="HTML Code"/>
    <w:basedOn w:val="a0"/>
    <w:uiPriority w:val="99"/>
    <w:semiHidden/>
    <w:unhideWhenUsed/>
    <w:qFormat/>
    <w:rPr>
      <w:rFonts w:ascii="monospace" w:eastAsia="monospace" w:hAnsi="monospace" w:cs="monospace" w:hint="default"/>
      <w:sz w:val="20"/>
    </w:rPr>
  </w:style>
  <w:style w:type="character" w:styleId="HTML4">
    <w:name w:val="HTML Cite"/>
    <w:basedOn w:val="a0"/>
    <w:uiPriority w:val="99"/>
    <w:semiHidden/>
    <w:unhideWhenUsed/>
    <w:qFormat/>
  </w:style>
  <w:style w:type="character" w:styleId="HTML5">
    <w:name w:val="HTML Keyboard"/>
    <w:basedOn w:val="a0"/>
    <w:uiPriority w:val="99"/>
    <w:semiHidden/>
    <w:unhideWhenUsed/>
    <w:qFormat/>
    <w:rPr>
      <w:rFonts w:ascii="monospace" w:eastAsia="monospace" w:hAnsi="monospace" w:cs="monospace" w:hint="default"/>
      <w:sz w:val="20"/>
    </w:rPr>
  </w:style>
  <w:style w:type="character" w:styleId="HTML6">
    <w:name w:val="HTML Sample"/>
    <w:basedOn w:val="a0"/>
    <w:uiPriority w:val="99"/>
    <w:semiHidden/>
    <w:unhideWhenUsed/>
    <w:qFormat/>
    <w:rPr>
      <w:rFonts w:ascii="monospace" w:eastAsia="monospace" w:hAnsi="monospace" w:cs="monospace" w:hint="default"/>
    </w:rPr>
  </w:style>
  <w:style w:type="paragraph" w:customStyle="1" w:styleId="10">
    <w:name w:val="列出段落1"/>
    <w:basedOn w:val="a"/>
    <w:qFormat/>
    <w:pPr>
      <w:ind w:firstLineChars="200" w:firstLine="420"/>
    </w:pPr>
  </w:style>
  <w:style w:type="character" w:customStyle="1" w:styleId="Char1">
    <w:name w:val="页眉 Char"/>
    <w:link w:val="a6"/>
    <w:uiPriority w:val="99"/>
    <w:qFormat/>
    <w:rPr>
      <w:kern w:val="2"/>
      <w:sz w:val="18"/>
      <w:szCs w:val="18"/>
    </w:rPr>
  </w:style>
  <w:style w:type="character" w:customStyle="1" w:styleId="Char0">
    <w:name w:val="页脚 Char"/>
    <w:link w:val="a5"/>
    <w:uiPriority w:val="99"/>
    <w:qFormat/>
    <w:rPr>
      <w:kern w:val="2"/>
      <w:sz w:val="18"/>
      <w:szCs w:val="18"/>
    </w:rPr>
  </w:style>
  <w:style w:type="character" w:customStyle="1" w:styleId="Char">
    <w:name w:val="批注框文本 Char"/>
    <w:link w:val="a4"/>
    <w:uiPriority w:val="99"/>
    <w:semiHidden/>
    <w:qFormat/>
    <w:rPr>
      <w:kern w:val="2"/>
      <w:sz w:val="18"/>
      <w:szCs w:val="18"/>
    </w:rPr>
  </w:style>
  <w:style w:type="paragraph" w:customStyle="1" w:styleId="11">
    <w:name w:val="修订1"/>
    <w:hidden/>
    <w:uiPriority w:val="99"/>
    <w:semiHidden/>
    <w:qFormat/>
    <w:rPr>
      <w:kern w:val="2"/>
      <w:sz w:val="21"/>
    </w:rPr>
  </w:style>
  <w:style w:type="character" w:customStyle="1" w:styleId="right">
    <w:name w:val="right"/>
    <w:basedOn w:val="a0"/>
    <w:qFormat/>
  </w:style>
  <w:style w:type="character" w:customStyle="1" w:styleId="active3">
    <w:name w:val="active3"/>
    <w:basedOn w:val="a0"/>
    <w:qFormat/>
    <w:rPr>
      <w:color w:val="F6A548"/>
    </w:rPr>
  </w:style>
  <w:style w:type="character" w:customStyle="1" w:styleId="active4">
    <w:name w:val="active4"/>
    <w:basedOn w:val="a0"/>
    <w:qFormat/>
    <w:rPr>
      <w:color w:val="FFFFFF"/>
      <w:sz w:val="21"/>
      <w:szCs w:val="21"/>
      <w:shd w:val="clear" w:color="auto" w:fill="543019"/>
    </w:rPr>
  </w:style>
  <w:style w:type="character" w:customStyle="1" w:styleId="noborder2">
    <w:name w:val="noborder2"/>
    <w:basedOn w:val="a0"/>
    <w:qFormat/>
  </w:style>
  <w:style w:type="character" w:customStyle="1" w:styleId="noborder3">
    <w:name w:val="noborder3"/>
    <w:basedOn w:val="a0"/>
    <w:qFormat/>
  </w:style>
  <w:style w:type="character" w:customStyle="1" w:styleId="noborder4">
    <w:name w:val="noborder4"/>
    <w:basedOn w:val="a0"/>
    <w:qFormat/>
  </w:style>
  <w:style w:type="character" w:customStyle="1" w:styleId="hover4">
    <w:name w:val="hover4"/>
    <w:basedOn w:val="a0"/>
    <w:qFormat/>
    <w:rPr>
      <w:color w:val="FFFFFF"/>
      <w:sz w:val="21"/>
      <w:szCs w:val="21"/>
      <w:shd w:val="clear" w:color="auto" w:fill="543019"/>
    </w:rPr>
  </w:style>
  <w:style w:type="character" w:customStyle="1" w:styleId="close">
    <w:name w:val="close"/>
    <w:basedOn w:val="a0"/>
    <w:qFormat/>
  </w:style>
  <w:style w:type="character" w:customStyle="1" w:styleId="right2">
    <w:name w:val="right2"/>
    <w:basedOn w:val="a0"/>
    <w:qFormat/>
  </w:style>
  <w:style w:type="character" w:customStyle="1" w:styleId="active">
    <w:name w:val="active"/>
    <w:basedOn w:val="a0"/>
    <w:qFormat/>
    <w:rPr>
      <w:color w:val="F6A548"/>
    </w:rPr>
  </w:style>
  <w:style w:type="character" w:customStyle="1" w:styleId="active1">
    <w:name w:val="active1"/>
    <w:basedOn w:val="a0"/>
    <w:qFormat/>
    <w:rPr>
      <w:color w:val="FFFFFF"/>
      <w:sz w:val="21"/>
      <w:szCs w:val="21"/>
      <w:shd w:val="clear" w:color="auto" w:fill="543019"/>
    </w:rPr>
  </w:style>
  <w:style w:type="paragraph" w:styleId="ac">
    <w:name w:val="List Paragraph"/>
    <w:basedOn w:val="a"/>
    <w:uiPriority w:val="34"/>
    <w:qFormat/>
    <w:pPr>
      <w:ind w:firstLineChars="200" w:firstLine="420"/>
    </w:pPr>
  </w:style>
  <w:style w:type="character" w:styleId="ad">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263</Words>
  <Characters>1502</Characters>
  <Application>Microsoft Office Word</Application>
  <DocSecurity>0</DocSecurity>
  <Lines>12</Lines>
  <Paragraphs>3</Paragraphs>
  <ScaleCrop>false</ScaleCrop>
  <Company>上海财经大学</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liuxiao</dc:title>
  <dc:creator>liuxiao</dc:creator>
  <cp:lastModifiedBy>万户网络</cp:lastModifiedBy>
  <cp:revision>5</cp:revision>
  <cp:lastPrinted>2411-12-31T15:59:00Z</cp:lastPrinted>
  <dcterms:created xsi:type="dcterms:W3CDTF">2019-09-19T02:52:00Z</dcterms:created>
  <dcterms:modified xsi:type="dcterms:W3CDTF">2019-09-19T10:30:00Z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