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F8" w:rsidRDefault="00454F93">
      <w:pPr>
        <w:spacing w:beforeLines="50" w:before="156" w:afterLines="50" w:after="156" w:line="400" w:lineRule="exact"/>
        <w:ind w:firstLineChars="250" w:firstLine="60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证券代码：000796                     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凯</w:t>
      </w:r>
      <w:proofErr w:type="gramEnd"/>
      <w:r>
        <w:rPr>
          <w:rFonts w:ascii="宋体" w:hAnsi="宋体" w:hint="eastAsia"/>
          <w:bCs/>
          <w:iCs/>
          <w:color w:val="000000"/>
          <w:sz w:val="24"/>
        </w:rPr>
        <w:t>撒旅游</w:t>
      </w:r>
    </w:p>
    <w:p w:rsidR="00FB30F8" w:rsidRDefault="00FB30F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:rsidR="00FB30F8" w:rsidRDefault="00454F9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海航</w:t>
      </w: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凯撒旅游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集团投资者关系活动记录表</w:t>
      </w:r>
    </w:p>
    <w:p w:rsidR="00FB30F8" w:rsidRDefault="00454F9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编号：2019-001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17"/>
      </w:tblGrid>
      <w:tr w:rsidR="00FB30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8" w:rsidRDefault="00454F9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:rsidR="00FB30F8" w:rsidRDefault="00454F9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活动类别</w:t>
            </w:r>
          </w:p>
          <w:p w:rsidR="00FB30F8" w:rsidRDefault="00FB30F8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8" w:rsidRDefault="00454F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特定对象调研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FB30F8" w:rsidRDefault="00454F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FB30F8" w:rsidRDefault="00454F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FB30F8" w:rsidRDefault="00454F9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FB30F8" w:rsidRDefault="00454F9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其他  </w:t>
            </w:r>
          </w:p>
        </w:tc>
      </w:tr>
      <w:tr w:rsidR="00FB30F8">
        <w:trPr>
          <w:trHeight w:val="5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8" w:rsidRDefault="00454F9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8" w:rsidRDefault="00454F93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国信证券、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东吴基金、中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信建投证券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、中信证券、中华联合保险、中欧瑞博投资、中科沃土基金、中银国际证券、交银施罗德基金、人寿养老基金、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石基金、嘉实基金、国海富兰克林基金、大禾投资、安邦资产、富利达资产管理、平安养老保险、招商基金、果时资本、银河基金、长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胜基金</w:t>
            </w:r>
            <w:proofErr w:type="gramEnd"/>
            <w:r w:rsidR="004C2A89">
              <w:rPr>
                <w:rFonts w:ascii="宋体" w:hAnsi="宋体" w:cs="宋体" w:hint="eastAsia"/>
                <w:color w:val="000000"/>
                <w:kern w:val="0"/>
                <w:sz w:val="24"/>
              </w:rPr>
              <w:t>等共37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券商及投资机构的42</w:t>
            </w:r>
            <w:r w:rsidR="004C2A8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参与会议</w:t>
            </w:r>
          </w:p>
        </w:tc>
      </w:tr>
      <w:tr w:rsidR="00FB30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8" w:rsidRDefault="00454F9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8" w:rsidRDefault="00454F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2019年10月9日10:00</w:t>
            </w:r>
          </w:p>
        </w:tc>
      </w:tr>
      <w:tr w:rsidR="00FB30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8" w:rsidRDefault="00454F9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8" w:rsidRDefault="00454F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电话会议</w:t>
            </w:r>
          </w:p>
        </w:tc>
      </w:tr>
      <w:tr w:rsidR="00FB30F8">
        <w:trPr>
          <w:trHeight w:val="8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8" w:rsidRDefault="00454F9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8" w:rsidRDefault="00454F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副董事长兼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总裁陈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小兵、董事兼首席执行官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曩麒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、副总裁魏灵、副总裁兼董事会秘书江丽妮</w:t>
            </w:r>
          </w:p>
        </w:tc>
      </w:tr>
      <w:tr w:rsidR="00FB30F8">
        <w:trPr>
          <w:trHeight w:val="21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8" w:rsidRDefault="00454F9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FB30F8" w:rsidRDefault="00FB30F8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2019年10月9日，海航</w:t>
            </w:r>
            <w:proofErr w:type="gramStart"/>
            <w:r>
              <w:rPr>
                <w:rFonts w:ascii="宋体" w:hAnsi="宋体" w:hint="eastAsia"/>
                <w:sz w:val="24"/>
              </w:rPr>
              <w:t>凯撒旅游</w:t>
            </w:r>
            <w:proofErr w:type="gramEnd"/>
            <w:r>
              <w:rPr>
                <w:rFonts w:ascii="宋体" w:hAnsi="宋体" w:hint="eastAsia"/>
                <w:sz w:val="24"/>
              </w:rPr>
              <w:t>集团股份有限公司（以下简称“公司”或“凯撒旅游”）召开券商及机构投资者交流会，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副董事长兼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总裁陈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小兵、董事兼首席执行官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曩麒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、副总裁魏灵、副总裁兼董事会秘书江丽妮</w:t>
            </w:r>
            <w:r>
              <w:rPr>
                <w:rFonts w:ascii="宋体" w:hAnsi="宋体" w:hint="eastAsia"/>
                <w:sz w:val="24"/>
              </w:rPr>
              <w:t>及多家券商、机构投资者代表参会。会议采用现场问答的形式，由</w:t>
            </w:r>
            <w:proofErr w:type="gramStart"/>
            <w:r>
              <w:rPr>
                <w:rFonts w:ascii="宋体" w:hAnsi="宋体" w:hint="eastAsia"/>
                <w:sz w:val="24"/>
              </w:rPr>
              <w:t>凯撒旅游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方面就券商及投资者代表提出的重点问题依次进行了解答和交流。本次会议就公司第一大股东变更、原大股东减持、董事会换届后等近期重大事项情况予以解答，同时针对公司目前及未来的经营情况进行了沟通交流，会议主要内容具体如下： 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1、本次公司原大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股东海航旅游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集团（以下简称“海航旅游”）</w:t>
            </w:r>
            <w:r>
              <w:rPr>
                <w:rFonts w:ascii="宋体" w:hAnsi="宋体" w:hint="eastAsia"/>
                <w:b/>
                <w:sz w:val="24"/>
              </w:rPr>
              <w:lastRenderedPageBreak/>
              <w:t>减持的背景及海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航旅游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后续减持计划？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答：海</w:t>
            </w:r>
            <w:proofErr w:type="gramStart"/>
            <w:r>
              <w:rPr>
                <w:rFonts w:ascii="宋体" w:hAnsi="宋体" w:hint="eastAsia"/>
                <w:sz w:val="24"/>
              </w:rPr>
              <w:t>航旅游减持主要</w:t>
            </w:r>
            <w:proofErr w:type="gramEnd"/>
            <w:r>
              <w:rPr>
                <w:rFonts w:ascii="宋体" w:hAnsi="宋体" w:hint="eastAsia"/>
                <w:sz w:val="24"/>
              </w:rPr>
              <w:t>是在海航集团整体战略调整的背景下，回归航空主业的具体安排。根据公司9月16日发布海</w:t>
            </w:r>
            <w:proofErr w:type="gramStart"/>
            <w:r>
              <w:rPr>
                <w:rFonts w:ascii="宋体" w:hAnsi="宋体" w:hint="eastAsia"/>
                <w:sz w:val="24"/>
              </w:rPr>
              <w:t>航旅游</w:t>
            </w:r>
            <w:proofErr w:type="gramEnd"/>
            <w:r>
              <w:rPr>
                <w:rFonts w:ascii="宋体" w:hAnsi="宋体" w:hint="eastAsia"/>
                <w:sz w:val="24"/>
              </w:rPr>
              <w:t>的减持计划，海</w:t>
            </w:r>
            <w:proofErr w:type="gramStart"/>
            <w:r>
              <w:rPr>
                <w:rFonts w:ascii="宋体" w:hAnsi="宋体" w:hint="eastAsia"/>
                <w:sz w:val="24"/>
              </w:rPr>
              <w:t>航</w:t>
            </w:r>
            <w:r>
              <w:rPr>
                <w:rFonts w:ascii="宋体" w:hAnsi="宋体"/>
                <w:sz w:val="24"/>
              </w:rPr>
              <w:t>旅游</w:t>
            </w:r>
            <w:proofErr w:type="gramEnd"/>
            <w:r>
              <w:rPr>
                <w:rFonts w:ascii="宋体" w:hAnsi="宋体"/>
                <w:sz w:val="24"/>
              </w:rPr>
              <w:t>计划在</w:t>
            </w:r>
            <w:r>
              <w:rPr>
                <w:rFonts w:ascii="宋体" w:hAnsi="宋体" w:hint="eastAsia"/>
                <w:sz w:val="24"/>
              </w:rPr>
              <w:t>6个月内</w:t>
            </w:r>
            <w:r>
              <w:rPr>
                <w:rFonts w:ascii="宋体" w:hAnsi="宋体"/>
                <w:sz w:val="24"/>
              </w:rPr>
              <w:t>通过</w:t>
            </w:r>
            <w:r>
              <w:rPr>
                <w:rFonts w:ascii="宋体" w:hAnsi="宋体" w:hint="eastAsia"/>
                <w:sz w:val="24"/>
              </w:rPr>
              <w:t>竞价</w:t>
            </w:r>
            <w:r>
              <w:rPr>
                <w:rFonts w:ascii="宋体" w:hAnsi="宋体"/>
                <w:sz w:val="24"/>
              </w:rPr>
              <w:t>和大宗交易</w:t>
            </w:r>
            <w:r>
              <w:rPr>
                <w:rFonts w:ascii="宋体" w:hAnsi="宋体" w:hint="eastAsia"/>
                <w:sz w:val="24"/>
              </w:rPr>
              <w:t>方式</w:t>
            </w:r>
            <w:r>
              <w:rPr>
                <w:rFonts w:ascii="宋体" w:hAnsi="宋体"/>
                <w:sz w:val="24"/>
              </w:rPr>
              <w:t>累计减持不超过</w:t>
            </w:r>
            <w:r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/>
                <w:sz w:val="24"/>
              </w:rPr>
              <w:t>总股本</w:t>
            </w:r>
            <w:r>
              <w:rPr>
                <w:rFonts w:ascii="宋体" w:hAnsi="宋体" w:hint="eastAsia"/>
                <w:sz w:val="24"/>
              </w:rPr>
              <w:t>6.0007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/>
                <w:sz w:val="24"/>
              </w:rPr>
              <w:t>股份，</w:t>
            </w:r>
            <w:r>
              <w:rPr>
                <w:rFonts w:ascii="宋体" w:hAnsi="宋体" w:hint="eastAsia"/>
                <w:sz w:val="24"/>
              </w:rPr>
              <w:t>目前累计减持1.55%，后续会根据市场情况进行相关安排。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2、股权变更后海航与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凯撒旅游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的后续合作情况？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答：为确保上市公司业务的稳定性，海航集团未来仍会在航空及配餐业务上继续支持公司业务持续发展，业务层面的合作不会受到影响。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3、公司未来的发展规划？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公司在业务发展方面：1）强化旅游的主业，会在渠道、产品、目的地运营方面采取更加积极的策略；2）继续利用公司多年来对食品发展的经验巩固航空及铁路配餐业务，同时未来会积极发展地面配餐、中央厨房的业务；3）与中国出国人员服务总公司（以下简称“中出服”）合作发展免税业务，公司与中</w:t>
            </w:r>
            <w:proofErr w:type="gramStart"/>
            <w:r>
              <w:rPr>
                <w:rFonts w:ascii="宋体" w:hAnsi="宋体" w:hint="eastAsia"/>
                <w:sz w:val="24"/>
              </w:rPr>
              <w:t>出服合作</w:t>
            </w:r>
            <w:proofErr w:type="gramEnd"/>
            <w:r>
              <w:rPr>
                <w:rFonts w:ascii="宋体" w:hAnsi="宋体" w:hint="eastAsia"/>
                <w:sz w:val="24"/>
              </w:rPr>
              <w:t>的天津免税店将于今年10月1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日开业，后续会继续</w:t>
            </w:r>
            <w:r>
              <w:rPr>
                <w:rFonts w:ascii="宋体" w:hAnsi="宋体"/>
                <w:sz w:val="24"/>
              </w:rPr>
              <w:t>探索</w:t>
            </w:r>
            <w:r>
              <w:rPr>
                <w:rFonts w:ascii="宋体" w:hAnsi="宋体" w:hint="eastAsia"/>
                <w:sz w:val="24"/>
              </w:rPr>
              <w:t>在其他城市合作开设市内和口岸免税店。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在人才方面：积极引进人才，未来在更多领域方面支持上市公司发展。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在合作伙伴方面：未来公司不排除会通过股权转让或者增发的可能，引进战略合作伙伴，开展战略合作，支持旅游主业发展。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4、与中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出服合作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的背景，未来进一步合作的规划？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答：中</w:t>
            </w:r>
            <w:proofErr w:type="gramStart"/>
            <w:r>
              <w:rPr>
                <w:rFonts w:ascii="宋体" w:hAnsi="宋体" w:hint="eastAsia"/>
                <w:sz w:val="24"/>
              </w:rPr>
              <w:t>出服选择凯撒作为</w:t>
            </w:r>
            <w:proofErr w:type="gramEnd"/>
            <w:r>
              <w:rPr>
                <w:rFonts w:ascii="宋体" w:hAnsi="宋体" w:hint="eastAsia"/>
                <w:sz w:val="24"/>
              </w:rPr>
              <w:t>合作对象主要看中</w:t>
            </w:r>
            <w:proofErr w:type="gramStart"/>
            <w:r>
              <w:rPr>
                <w:rFonts w:ascii="宋体" w:hAnsi="宋体" w:hint="eastAsia"/>
                <w:sz w:val="24"/>
              </w:rPr>
              <w:t>凯撒旅游</w:t>
            </w:r>
            <w:proofErr w:type="gramEnd"/>
            <w:r>
              <w:rPr>
                <w:rFonts w:ascii="宋体" w:hAnsi="宋体" w:hint="eastAsia"/>
                <w:sz w:val="24"/>
              </w:rPr>
              <w:t>的出境游业务经验、资源和口岸的良好关系。在国家引导消费回流的大背景下，未来还会有其他项目陆续落地（天津即将落地），探索在市内店、机场口岸等继续展开合作，并进一步研究双方全面、多</w:t>
            </w:r>
            <w:r>
              <w:rPr>
                <w:rFonts w:ascii="宋体" w:hAnsi="宋体" w:hint="eastAsia"/>
                <w:sz w:val="24"/>
              </w:rPr>
              <w:lastRenderedPageBreak/>
              <w:t>样化的合作模式。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出境游各目的地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方面情况，未来出境游目的地主要为哪些？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今年从目的地表现来看，非洲增长最好，日本其次，欧洲相对平稳；港澳下降较多，东南亚、美国、澳洲也在下降。目前国内旅游增长很快，比以往好转，部分因为东南亚、港澳的替代效应。未来主要的出境游目的地预计主要为欧洲、日本，并从2020年开始公司将从多个层面介入国内游市场（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学、康养等）。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6、半年度报告旅游业务收入和毛利率下滑原因是？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2019年半年度报告旅游业务收入盈利较去年有所下降，是因为上半年公司经营策略相对保守，主要有以下几方面原因：1）公司去年底对今年宏观经济形势谨慎乐观；2）海航集团聚焦航空主业的战略尚未落地；3）公司认为这几年无论出境游还是大的旅游行业，面临着新的转变和挑战，因此从2017年就开始转型应对行业变化，转型期也会导致公司经营相对保守。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不过，今年公司整体业务还是比较平稳，零售业务表现优秀，有很好的持续性和延展性，</w:t>
            </w:r>
            <w:proofErr w:type="gramStart"/>
            <w:r>
              <w:rPr>
                <w:rFonts w:ascii="宋体" w:hAnsi="宋体" w:hint="eastAsia"/>
                <w:sz w:val="24"/>
              </w:rPr>
              <w:t>老客人复购率</w:t>
            </w:r>
            <w:proofErr w:type="gramEnd"/>
            <w:r>
              <w:rPr>
                <w:rFonts w:ascii="宋体" w:hAnsi="宋体" w:hint="eastAsia"/>
                <w:sz w:val="24"/>
              </w:rPr>
              <w:t>超过50%。随着海航集团战略明确落地，公司后续会采取积极的策略，同时出境游业务通常有滞后性，所以在未来6个月会有所显现。</w:t>
            </w:r>
            <w:r w:rsidRPr="00454F93">
              <w:rPr>
                <w:rFonts w:ascii="宋体" w:hAnsi="宋体" w:hint="eastAsia"/>
                <w:sz w:val="24"/>
              </w:rPr>
              <w:t>从目前公司订单趋势来看，2020年Q1同比增长较高。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7、明年订单增长目的地方面的拆分？行业景气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度能否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持续？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答：2019年Q1表现突出的是极地业务，公司极地</w:t>
            </w:r>
            <w:proofErr w:type="gramStart"/>
            <w:r>
              <w:rPr>
                <w:rFonts w:ascii="宋体" w:hAnsi="宋体" w:hint="eastAsia"/>
                <w:sz w:val="24"/>
              </w:rPr>
              <w:t>业务市占率</w:t>
            </w:r>
            <w:proofErr w:type="gramEnd"/>
            <w:r>
              <w:rPr>
                <w:rFonts w:ascii="宋体" w:hAnsi="宋体" w:hint="eastAsia"/>
                <w:sz w:val="24"/>
              </w:rPr>
              <w:t>最高时达到28%（市场第一），后来排名又有小波动，但预计后续会回到</w:t>
            </w:r>
            <w:proofErr w:type="gramStart"/>
            <w:r>
              <w:rPr>
                <w:rFonts w:ascii="宋体" w:hAnsi="宋体" w:hint="eastAsia"/>
                <w:sz w:val="24"/>
              </w:rPr>
              <w:t>市占率第一</w:t>
            </w:r>
            <w:proofErr w:type="gramEnd"/>
            <w:r>
              <w:rPr>
                <w:rFonts w:ascii="宋体" w:hAnsi="宋体" w:hint="eastAsia"/>
                <w:sz w:val="24"/>
              </w:rPr>
              <w:t>的位置。目前日本和国内游业务显著增长，其次近两年培育的</w:t>
            </w:r>
            <w:proofErr w:type="gramStart"/>
            <w:r>
              <w:rPr>
                <w:rFonts w:ascii="宋体" w:hAnsi="宋体" w:hint="eastAsia"/>
                <w:sz w:val="24"/>
              </w:rPr>
              <w:t>子品牌如研</w:t>
            </w:r>
            <w:proofErr w:type="gramEnd"/>
            <w:r>
              <w:rPr>
                <w:rFonts w:ascii="宋体" w:hAnsi="宋体" w:hint="eastAsia"/>
                <w:sz w:val="24"/>
              </w:rPr>
              <w:t>学、康养、体育、差旅、度假自由行业务等对整体也有积极贡献。特别是体育业务方面，预计明年</w:t>
            </w:r>
            <w:r>
              <w:rPr>
                <w:rFonts w:ascii="宋体" w:hAnsi="宋体" w:hint="eastAsia"/>
                <w:sz w:val="24"/>
              </w:rPr>
              <w:lastRenderedPageBreak/>
              <w:t>东京奥运会有积极影响，公司推出的出行套餐需求供给比为15:1，目前订单非常踊跃，其他</w:t>
            </w:r>
            <w:proofErr w:type="gramStart"/>
            <w:r>
              <w:rPr>
                <w:rFonts w:ascii="宋体" w:hAnsi="宋体" w:hint="eastAsia"/>
                <w:sz w:val="24"/>
              </w:rPr>
              <w:t>子品牌</w:t>
            </w:r>
            <w:proofErr w:type="gramEnd"/>
            <w:r>
              <w:rPr>
                <w:rFonts w:ascii="宋体" w:hAnsi="宋体" w:hint="eastAsia"/>
                <w:sz w:val="24"/>
              </w:rPr>
              <w:t>预计从2020年开始对公司也会有比较积极的贡献。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8、汇率变化的对出境游的影响？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目前从2019年半年报来看，因为上半年汇率一直在涨，半年报结算时会有汇兑损失。但9月份是有汇兑收益的。综合来看汇兑对利润的影响为百万元级别水平，影响不大。长期上主要是心理方面影响。从行业发展来看，在汇率有大波动抑制出境游时，入境</w:t>
            </w:r>
            <w:proofErr w:type="gramStart"/>
            <w:r>
              <w:rPr>
                <w:rFonts w:ascii="宋体" w:hAnsi="宋体" w:hint="eastAsia"/>
                <w:sz w:val="24"/>
              </w:rPr>
              <w:t>游可能</w:t>
            </w:r>
            <w:proofErr w:type="gramEnd"/>
            <w:r>
              <w:rPr>
                <w:rFonts w:ascii="宋体" w:hAnsi="宋体" w:hint="eastAsia"/>
                <w:sz w:val="24"/>
              </w:rPr>
              <w:t>会起到对冲效应。目前入境游在新兴客源地有潜力，亚洲区域如印尼和马来西亚、中东的入境</w:t>
            </w:r>
            <w:proofErr w:type="gramStart"/>
            <w:r>
              <w:rPr>
                <w:rFonts w:ascii="宋体" w:hAnsi="宋体" w:hint="eastAsia"/>
                <w:sz w:val="24"/>
              </w:rPr>
              <w:t>游趋势</w:t>
            </w:r>
            <w:proofErr w:type="gramEnd"/>
            <w:r>
              <w:rPr>
                <w:rFonts w:ascii="宋体" w:hAnsi="宋体" w:hint="eastAsia"/>
                <w:sz w:val="24"/>
              </w:rPr>
              <w:t>不错。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9、公司如何看待Thomas Cook破产事件？公司未来在旅行社业务的考虑？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答：从发展阶段来看，Thomas Cook已经运行了近170年，中国市场化旅游业务1990年后才开始快速发展，两个国家市场发展阶段不同。目前中国很多消费者旅游需求还未满足，自由行、团队</w:t>
            </w:r>
            <w:proofErr w:type="gramStart"/>
            <w:r>
              <w:rPr>
                <w:rFonts w:ascii="宋体" w:hAnsi="宋体" w:hint="eastAsia"/>
                <w:sz w:val="24"/>
              </w:rPr>
              <w:t>游还有</w:t>
            </w:r>
            <w:proofErr w:type="gramEnd"/>
            <w:r>
              <w:rPr>
                <w:rFonts w:ascii="宋体" w:hAnsi="宋体" w:hint="eastAsia"/>
                <w:sz w:val="24"/>
              </w:rPr>
              <w:t>很大的提升空间，现在去</w:t>
            </w:r>
            <w:proofErr w:type="gramStart"/>
            <w:r>
              <w:rPr>
                <w:rFonts w:ascii="宋体" w:hAnsi="宋体" w:hint="eastAsia"/>
                <w:sz w:val="24"/>
              </w:rPr>
              <w:t>谈行业</w:t>
            </w:r>
            <w:proofErr w:type="gramEnd"/>
            <w:r>
              <w:rPr>
                <w:rFonts w:ascii="宋体" w:hAnsi="宋体" w:hint="eastAsia"/>
                <w:sz w:val="24"/>
              </w:rPr>
              <w:t>天花板和走向还是有点太早。从行业发展速度来看，出境</w:t>
            </w:r>
            <w:proofErr w:type="gramStart"/>
            <w:r>
              <w:rPr>
                <w:rFonts w:ascii="宋体" w:hAnsi="宋体" w:hint="eastAsia"/>
                <w:sz w:val="24"/>
              </w:rPr>
              <w:t>游行业</w:t>
            </w:r>
            <w:proofErr w:type="gramEnd"/>
            <w:r>
              <w:rPr>
                <w:rFonts w:ascii="宋体" w:hAnsi="宋体" w:hint="eastAsia"/>
                <w:sz w:val="24"/>
              </w:rPr>
              <w:t>确实过了增速很快的阶段（2016年为分水岭，2015年及以前增长较快），公司认为行业已经进入相对平缓的阶段。微观角度，欧洲大型的旅游社发展过程中进行了很多并购，业务单元可能多达几百个，但这些业务单元的并购整合可能</w:t>
            </w:r>
            <w:r w:rsidR="00D71E01">
              <w:rPr>
                <w:rFonts w:ascii="宋体" w:hAnsi="宋体" w:hint="eastAsia"/>
                <w:sz w:val="24"/>
              </w:rPr>
              <w:t>不好，业务协同不是很明显；同时欧洲传统的旅行社人工非常多（某欧洲</w:t>
            </w:r>
            <w:r>
              <w:rPr>
                <w:rFonts w:ascii="宋体" w:hAnsi="宋体" w:hint="eastAsia"/>
                <w:sz w:val="24"/>
              </w:rPr>
              <w:t>前三的传统旅行社</w:t>
            </w:r>
            <w:r w:rsidR="00D71E01">
              <w:rPr>
                <w:rFonts w:ascii="宋体" w:hAnsi="宋体" w:hint="eastAsia"/>
                <w:sz w:val="24"/>
              </w:rPr>
              <w:t>仅一家</w:t>
            </w:r>
            <w:r w:rsidR="00D71E01">
              <w:rPr>
                <w:rFonts w:ascii="宋体" w:hAnsi="宋体"/>
                <w:sz w:val="24"/>
              </w:rPr>
              <w:t>分公司</w:t>
            </w:r>
            <w:r>
              <w:rPr>
                <w:rFonts w:ascii="宋体" w:hAnsi="宋体" w:hint="eastAsia"/>
                <w:sz w:val="24"/>
              </w:rPr>
              <w:t>员工</w:t>
            </w:r>
            <w:r w:rsidR="00D71E01">
              <w:rPr>
                <w:rFonts w:ascii="宋体" w:hAnsi="宋体" w:hint="eastAsia"/>
                <w:sz w:val="24"/>
              </w:rPr>
              <w:t>即</w:t>
            </w:r>
            <w:r>
              <w:rPr>
                <w:rFonts w:ascii="宋体" w:hAnsi="宋体" w:hint="eastAsia"/>
                <w:sz w:val="24"/>
              </w:rPr>
              <w:t>多达几千人），且国外人工成本又高，很多员工临近退休，从而导致企业的包袱很重，阻碍企业发展。公司认为传统旅行社与其说是受到OTA的冲击，不如说是自身管理问题的暴露。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10、如何看待旅行社与OTA的关系？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答：因为OTA虽在管理、数据采取方面有优势，但是在内容</w:t>
            </w:r>
            <w:r>
              <w:rPr>
                <w:rFonts w:ascii="宋体" w:hAnsi="宋体" w:hint="eastAsia"/>
                <w:sz w:val="24"/>
              </w:rPr>
              <w:lastRenderedPageBreak/>
              <w:t>生产和实际运营方面还是需要与做产品的公司进行合作，双方不一定是竞争关系，是可以共生的。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凯撒旅游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拿到日本奥运门票独家代理权，对营收弹性如何？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公司做过多届奥运会独家代理业务（里约、平昌），日本是这十几年中最好的机会，因为是短途旅游市场。从报名情况来看，很多人已经开始做预订。伦敦奥运会收入在1.2亿左右，日本较伦敦会有较大增长，预计将会为公司带来一定的收入，最终销售会在今年Q4和明年Q1体现出来。日本方面也制定了旅游行业的10年战略，旅游强国战略逐渐落地，明年日本基数虽然不小，但预计仍然是增长的态势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12、出境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游行业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的市场集中度是否会有相对显著的提升？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集中度提升是比较确定的趋势，近两年经济状态下，不少中小旅行社受到了来自各方面的冲击，人员、业务也会流向头部企业。且随着头部企业在资金、技术、客户等方面的优势进一步强化，预计集中度还能继续提升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13、公司在京津地区零售业务竞争优势是否可以其他区域复制？旅游零售的优势建立是否需要较长的时间？公司未来的渠道策略考虑？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答：出境游是高价低频，做用户的转化的过程较慢，因此建立壁垒需要时间。这两年公司在运营门店的同时在渠道方面做了很多工作。1）</w:t>
            </w:r>
            <w:proofErr w:type="gramStart"/>
            <w:r>
              <w:rPr>
                <w:rFonts w:ascii="宋体" w:hAnsi="宋体" w:hint="eastAsia"/>
                <w:sz w:val="24"/>
              </w:rPr>
              <w:t>强化线</w:t>
            </w:r>
            <w:proofErr w:type="gramEnd"/>
            <w:r>
              <w:rPr>
                <w:rFonts w:ascii="宋体" w:hAnsi="宋体" w:hint="eastAsia"/>
                <w:sz w:val="24"/>
              </w:rPr>
              <w:t>上的运营能力，公司认为线上线下结合的零售模式才是最好的模式。2）侧重拓展企业大客户，开发了中国500强企业服务专区，线下拓展资源，2019年反应效果还不错。3）提高单店单人的收益。在上面三点的基础上，公司在零售业务也会持续有一些思考和探索，会有自己的一些思路，未来业务会有更加扎实的增长。</w:t>
            </w:r>
          </w:p>
          <w:p w:rsidR="00FB30F8" w:rsidRDefault="00454F93" w:rsidP="00454F93">
            <w:pPr>
              <w:spacing w:line="5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14、2010-2015年出境游增长很快，2016年后行业波动大，但目前中国持有护照的人数渗透率仍较低，未来行业的增速态势如何？</w:t>
            </w:r>
          </w:p>
          <w:p w:rsidR="00FB30F8" w:rsidRDefault="00454F93" w:rsidP="00454F93">
            <w:pPr>
              <w:spacing w:line="500" w:lineRule="exact"/>
              <w:ind w:firstLineChars="200"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答：预计未来出境游行业会进入比较平稳的状态，考虑到汇率</w:t>
            </w:r>
            <w:r w:rsidR="00D71E01">
              <w:rPr>
                <w:rFonts w:ascii="宋体" w:hAnsi="宋体" w:hint="eastAsia"/>
                <w:sz w:val="24"/>
              </w:rPr>
              <w:t>变动</w:t>
            </w:r>
            <w:r w:rsidR="00D71E01">
              <w:rPr>
                <w:rFonts w:ascii="宋体" w:hAnsi="宋体"/>
                <w:sz w:val="24"/>
              </w:rPr>
              <w:t>趋势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短期不会有太大的变化。企业要是想拥有高于行业中枢的增速，就必要找新的业务增长点，例如国内游、本地文化休闲，形式上可以借助定制游、体育户外、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学康养等。</w:t>
            </w:r>
          </w:p>
        </w:tc>
      </w:tr>
      <w:tr w:rsidR="00FB30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8" w:rsidRDefault="00454F9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</w:t>
            </w:r>
          </w:p>
          <w:p w:rsidR="00FB30F8" w:rsidRDefault="00454F9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（如有）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8" w:rsidRDefault="00FB30F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</w:tr>
      <w:tr w:rsidR="00FB30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8" w:rsidRDefault="00454F9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8" w:rsidRDefault="00454F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2019年10月9日</w:t>
            </w:r>
          </w:p>
        </w:tc>
      </w:tr>
    </w:tbl>
    <w:p w:rsidR="00FB30F8" w:rsidRDefault="00FB30F8"/>
    <w:sectPr w:rsidR="00FB3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F8"/>
    <w:rsid w:val="00454F93"/>
    <w:rsid w:val="004C2A89"/>
    <w:rsid w:val="00D71E01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E0F68-D7AB-416C-BC64-BC74030E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ListParagraphe0b4704c-fb1c-4721-a20e-5ec027130644">
    <w:name w:val="List Paragraph_e0b4704c-fb1c-4721-a20e-5ec027130644"/>
    <w:basedOn w:val="a"/>
    <w:uiPriority w:val="34"/>
    <w:qFormat/>
    <w:pPr>
      <w:ind w:firstLineChars="200" w:firstLine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545</Words>
  <Characters>3110</Characters>
  <Application>Microsoft Office Word</Application>
  <DocSecurity>0</DocSecurity>
  <Lines>25</Lines>
  <Paragraphs>7</Paragraphs>
  <ScaleCrop>false</ScaleCrop>
  <Company>Sky123.Org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5</cp:revision>
  <dcterms:created xsi:type="dcterms:W3CDTF">2019-10-10T02:48:00Z</dcterms:created>
  <dcterms:modified xsi:type="dcterms:W3CDTF">2019-10-10T01:25:00Z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2052-9.9.1</vt:lpwstr>
  </property>
</Properties>
</file>