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after="156" w:afterLines="50" w:line="400" w:lineRule="exact"/>
        <w:rPr>
          <w:bCs/>
          <w:iCs/>
          <w:sz w:val="24"/>
        </w:rPr>
      </w:pPr>
      <w:r>
        <w:rPr>
          <w:bCs/>
          <w:iCs/>
          <w:sz w:val="24"/>
        </w:rPr>
        <w:t>证券代码：000969                                   证券简称：安泰科技</w:t>
      </w:r>
    </w:p>
    <w:p>
      <w:pPr>
        <w:spacing w:before="156" w:beforeLines="50" w:after="156" w:afterLines="50" w:line="400" w:lineRule="exact"/>
        <w:jc w:val="center"/>
        <w:rPr>
          <w:b/>
          <w:bCs/>
          <w:iCs/>
          <w:sz w:val="32"/>
          <w:szCs w:val="32"/>
        </w:rPr>
      </w:pPr>
      <w:r>
        <w:rPr>
          <w:b/>
          <w:bCs/>
          <w:iCs/>
          <w:sz w:val="32"/>
          <w:szCs w:val="32"/>
        </w:rPr>
        <w:t>安泰科技股份有限公司投资者关系活动记录表</w:t>
      </w:r>
    </w:p>
    <w:p>
      <w:pPr>
        <w:spacing w:line="400" w:lineRule="exact"/>
        <w:rPr>
          <w:bCs/>
          <w:iCs/>
          <w:sz w:val="24"/>
        </w:rPr>
      </w:pPr>
      <w:r>
        <w:rPr>
          <w:bCs/>
          <w:iCs/>
          <w:sz w:val="24"/>
        </w:rPr>
        <w:t xml:space="preserve">                                                        编号：201</w:t>
      </w:r>
      <w:r>
        <w:rPr>
          <w:rFonts w:hint="eastAsia"/>
          <w:bCs/>
          <w:iCs/>
          <w:sz w:val="24"/>
          <w:lang w:val="en-US" w:eastAsia="zh-CN"/>
        </w:rPr>
        <w:t>9</w:t>
      </w:r>
      <w:r>
        <w:rPr>
          <w:bCs/>
          <w:iCs/>
          <w:sz w:val="24"/>
        </w:rPr>
        <w:t>-00</w:t>
      </w:r>
      <w:r>
        <w:rPr>
          <w:rFonts w:hint="eastAsia"/>
          <w:bCs/>
          <w:iCs/>
          <w:sz w:val="24"/>
          <w:lang w:val="en-US" w:eastAsia="zh-CN"/>
        </w:rPr>
        <w:t>5</w:t>
      </w:r>
    </w:p>
    <w:tbl>
      <w:tblPr>
        <w:tblStyle w:val="10"/>
        <w:tblW w:w="9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bCs/>
                <w:iCs/>
                <w:sz w:val="24"/>
                <w:highlight w:val="none"/>
              </w:rPr>
            </w:pPr>
            <w:r>
              <w:rPr>
                <w:bCs/>
                <w:iCs/>
                <w:sz w:val="24"/>
                <w:highlight w:val="none"/>
              </w:rPr>
              <w:t>投资者关系</w:t>
            </w:r>
          </w:p>
          <w:p>
            <w:pPr>
              <w:spacing w:line="360" w:lineRule="auto"/>
              <w:jc w:val="center"/>
              <w:rPr>
                <w:bCs/>
                <w:iCs/>
                <w:sz w:val="24"/>
                <w:highlight w:val="none"/>
              </w:rPr>
            </w:pPr>
            <w:r>
              <w:rPr>
                <w:bCs/>
                <w:iCs/>
                <w:sz w:val="24"/>
                <w:highlight w:val="none"/>
              </w:rPr>
              <w:t>活动类别</w:t>
            </w:r>
          </w:p>
        </w:tc>
        <w:tc>
          <w:tcPr>
            <w:tcW w:w="7322" w:type="dxa"/>
            <w:tcBorders>
              <w:top w:val="single" w:color="auto" w:sz="4" w:space="0"/>
              <w:left w:val="single" w:color="auto" w:sz="4" w:space="0"/>
              <w:bottom w:val="single" w:color="auto" w:sz="4" w:space="0"/>
              <w:right w:val="single" w:color="auto" w:sz="4" w:space="0"/>
            </w:tcBorders>
            <w:vAlign w:val="top"/>
          </w:tcPr>
          <w:p>
            <w:pPr>
              <w:spacing w:line="360" w:lineRule="auto"/>
              <w:rPr>
                <w:bCs/>
                <w:iCs/>
                <w:sz w:val="24"/>
                <w:highlight w:val="none"/>
              </w:rPr>
            </w:pPr>
            <w:r>
              <w:rPr>
                <w:bCs/>
                <w:iCs/>
                <w:sz w:val="24"/>
                <w:highlight w:val="none"/>
              </w:rPr>
              <w:t>■</w:t>
            </w:r>
            <w:r>
              <w:rPr>
                <w:sz w:val="24"/>
                <w:highlight w:val="none"/>
              </w:rPr>
              <w:t xml:space="preserve">特定对象调研        </w:t>
            </w:r>
            <w:r>
              <w:rPr>
                <w:bCs/>
                <w:iCs/>
                <w:sz w:val="24"/>
                <w:highlight w:val="none"/>
              </w:rPr>
              <w:t>□</w:t>
            </w:r>
            <w:r>
              <w:rPr>
                <w:sz w:val="24"/>
                <w:highlight w:val="none"/>
              </w:rPr>
              <w:t>分析师会议</w:t>
            </w:r>
          </w:p>
          <w:p>
            <w:pPr>
              <w:spacing w:line="360" w:lineRule="auto"/>
              <w:rPr>
                <w:bCs/>
                <w:iCs/>
                <w:sz w:val="24"/>
                <w:highlight w:val="none"/>
              </w:rPr>
            </w:pPr>
            <w:r>
              <w:rPr>
                <w:bCs/>
                <w:iCs/>
                <w:sz w:val="24"/>
                <w:highlight w:val="none"/>
              </w:rPr>
              <w:t>□</w:t>
            </w:r>
            <w:r>
              <w:rPr>
                <w:sz w:val="24"/>
                <w:highlight w:val="none"/>
              </w:rPr>
              <w:t xml:space="preserve">媒体采访            </w:t>
            </w:r>
            <w:r>
              <w:rPr>
                <w:bCs/>
                <w:iCs/>
                <w:sz w:val="24"/>
                <w:highlight w:val="none"/>
              </w:rPr>
              <w:t>□</w:t>
            </w:r>
            <w:r>
              <w:rPr>
                <w:sz w:val="24"/>
                <w:highlight w:val="none"/>
              </w:rPr>
              <w:t>业绩说明会</w:t>
            </w:r>
          </w:p>
          <w:p>
            <w:pPr>
              <w:spacing w:line="360" w:lineRule="auto"/>
              <w:rPr>
                <w:bCs/>
                <w:iCs/>
                <w:sz w:val="24"/>
                <w:highlight w:val="none"/>
              </w:rPr>
            </w:pPr>
            <w:r>
              <w:rPr>
                <w:bCs/>
                <w:iCs/>
                <w:sz w:val="24"/>
                <w:highlight w:val="none"/>
              </w:rPr>
              <w:t>□</w:t>
            </w:r>
            <w:r>
              <w:rPr>
                <w:sz w:val="24"/>
                <w:highlight w:val="none"/>
              </w:rPr>
              <w:t xml:space="preserve">新闻发布会          </w:t>
            </w:r>
            <w:r>
              <w:rPr>
                <w:bCs/>
                <w:iCs/>
                <w:sz w:val="24"/>
                <w:highlight w:val="none"/>
              </w:rPr>
              <w:t>□</w:t>
            </w:r>
            <w:r>
              <w:rPr>
                <w:sz w:val="24"/>
                <w:highlight w:val="none"/>
              </w:rPr>
              <w:t>路演活动</w:t>
            </w:r>
          </w:p>
          <w:p>
            <w:pPr>
              <w:tabs>
                <w:tab w:val="center" w:pos="3199"/>
              </w:tabs>
              <w:spacing w:line="360" w:lineRule="auto"/>
              <w:rPr>
                <w:bCs/>
                <w:iCs/>
                <w:sz w:val="24"/>
                <w:highlight w:val="none"/>
              </w:rPr>
            </w:pPr>
            <w:r>
              <w:rPr>
                <w:bCs/>
                <w:iCs/>
                <w:sz w:val="24"/>
                <w:highlight w:val="none"/>
              </w:rPr>
              <w:t>□</w:t>
            </w:r>
            <w:r>
              <w:rPr>
                <w:sz w:val="24"/>
                <w:highlight w:val="none"/>
              </w:rPr>
              <w:t>现场参观</w:t>
            </w:r>
            <w:r>
              <w:rPr>
                <w:bCs/>
                <w:iCs/>
                <w:sz w:val="24"/>
                <w:highlight w:val="none"/>
              </w:rPr>
              <w:t xml:space="preserve">            □</w:t>
            </w:r>
            <w:r>
              <w:rPr>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bCs/>
                <w:iCs/>
                <w:sz w:val="24"/>
                <w:highlight w:val="none"/>
              </w:rPr>
            </w:pPr>
            <w:r>
              <w:rPr>
                <w:bCs/>
                <w:iCs/>
                <w:sz w:val="24"/>
                <w:highlight w:val="none"/>
              </w:rPr>
              <w:t>参与单位名称</w:t>
            </w:r>
          </w:p>
          <w:p>
            <w:pPr>
              <w:spacing w:line="360" w:lineRule="auto"/>
              <w:jc w:val="center"/>
              <w:rPr>
                <w:bCs/>
                <w:iCs/>
                <w:sz w:val="24"/>
                <w:highlight w:val="none"/>
              </w:rPr>
            </w:pPr>
            <w:r>
              <w:rPr>
                <w:bCs/>
                <w:iCs/>
                <w:sz w:val="24"/>
                <w:highlight w:val="none"/>
              </w:rPr>
              <w:t>及人员姓名</w:t>
            </w:r>
          </w:p>
        </w:tc>
        <w:tc>
          <w:tcPr>
            <w:tcW w:w="732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eastAsia="宋体"/>
                <w:bCs/>
                <w:iCs/>
                <w:sz w:val="24"/>
                <w:szCs w:val="24"/>
                <w:highlight w:val="none"/>
                <w:lang w:val="en-US" w:eastAsia="zh-CN"/>
              </w:rPr>
            </w:pPr>
            <w:r>
              <w:rPr>
                <w:rFonts w:hint="eastAsia"/>
                <w:bCs/>
                <w:iCs/>
                <w:sz w:val="24"/>
                <w:szCs w:val="24"/>
                <w:highlight w:val="none"/>
                <w:lang w:val="en-US" w:eastAsia="zh-CN"/>
              </w:rPr>
              <w:t>天风证券—孙亮、王小芃，恒盛基金-吴社杰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highlight w:val="none"/>
              </w:rPr>
            </w:pPr>
            <w:r>
              <w:rPr>
                <w:rFonts w:hint="eastAsia"/>
                <w:bCs/>
                <w:iCs/>
                <w:sz w:val="24"/>
                <w:highlight w:val="none"/>
                <w:lang w:val="en-US" w:eastAsia="zh-CN"/>
              </w:rPr>
              <w:t>接待</w:t>
            </w:r>
            <w:r>
              <w:rPr>
                <w:bCs/>
                <w:iCs/>
                <w:sz w:val="24"/>
                <w:highlight w:val="none"/>
              </w:rPr>
              <w:t>时间</w:t>
            </w:r>
          </w:p>
        </w:tc>
        <w:tc>
          <w:tcPr>
            <w:tcW w:w="7322" w:type="dxa"/>
            <w:tcBorders>
              <w:top w:val="single" w:color="auto" w:sz="4" w:space="0"/>
              <w:left w:val="single" w:color="auto" w:sz="4" w:space="0"/>
              <w:bottom w:val="single" w:color="auto" w:sz="4" w:space="0"/>
              <w:right w:val="single" w:color="auto" w:sz="4" w:space="0"/>
            </w:tcBorders>
            <w:vAlign w:val="top"/>
          </w:tcPr>
          <w:p>
            <w:pPr>
              <w:spacing w:line="360" w:lineRule="auto"/>
              <w:rPr>
                <w:bCs/>
                <w:iCs/>
                <w:sz w:val="24"/>
                <w:highlight w:val="none"/>
              </w:rPr>
            </w:pPr>
            <w:r>
              <w:rPr>
                <w:bCs/>
                <w:iCs/>
                <w:sz w:val="24"/>
                <w:highlight w:val="none"/>
              </w:rPr>
              <w:t>201</w:t>
            </w:r>
            <w:r>
              <w:rPr>
                <w:rFonts w:hint="eastAsia"/>
                <w:bCs/>
                <w:iCs/>
                <w:sz w:val="24"/>
                <w:highlight w:val="none"/>
                <w:lang w:val="en-US" w:eastAsia="zh-CN"/>
              </w:rPr>
              <w:t>9</w:t>
            </w:r>
            <w:r>
              <w:rPr>
                <w:bCs/>
                <w:iCs/>
                <w:sz w:val="24"/>
                <w:highlight w:val="none"/>
              </w:rPr>
              <w:t>年</w:t>
            </w:r>
            <w:r>
              <w:rPr>
                <w:rFonts w:hint="eastAsia"/>
                <w:bCs/>
                <w:iCs/>
                <w:sz w:val="24"/>
                <w:highlight w:val="none"/>
                <w:lang w:val="en-US" w:eastAsia="zh-CN"/>
              </w:rPr>
              <w:t>10</w:t>
            </w:r>
            <w:r>
              <w:rPr>
                <w:bCs/>
                <w:iCs/>
                <w:sz w:val="24"/>
                <w:highlight w:val="none"/>
              </w:rPr>
              <w:t>月</w:t>
            </w:r>
            <w:r>
              <w:rPr>
                <w:rFonts w:hint="eastAsia"/>
                <w:bCs/>
                <w:iCs/>
                <w:sz w:val="24"/>
                <w:highlight w:val="none"/>
                <w:lang w:val="en-US" w:eastAsia="zh-CN"/>
              </w:rPr>
              <w:t>10</w:t>
            </w:r>
            <w:r>
              <w:rPr>
                <w:bCs/>
                <w:iCs/>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highlight w:val="none"/>
              </w:rPr>
            </w:pPr>
            <w:r>
              <w:rPr>
                <w:rFonts w:hint="eastAsia"/>
                <w:bCs/>
                <w:iCs/>
                <w:sz w:val="24"/>
                <w:highlight w:val="none"/>
                <w:lang w:val="en-US" w:eastAsia="zh-CN"/>
              </w:rPr>
              <w:t>接待</w:t>
            </w:r>
            <w:r>
              <w:rPr>
                <w:bCs/>
                <w:iCs/>
                <w:sz w:val="24"/>
                <w:highlight w:val="none"/>
              </w:rPr>
              <w:t>地点</w:t>
            </w:r>
          </w:p>
        </w:tc>
        <w:tc>
          <w:tcPr>
            <w:tcW w:w="7322" w:type="dxa"/>
            <w:tcBorders>
              <w:top w:val="single" w:color="auto" w:sz="4" w:space="0"/>
              <w:left w:val="single" w:color="auto" w:sz="4" w:space="0"/>
              <w:bottom w:val="single" w:color="auto" w:sz="4" w:space="0"/>
              <w:right w:val="single" w:color="auto" w:sz="4" w:space="0"/>
            </w:tcBorders>
            <w:vAlign w:val="top"/>
          </w:tcPr>
          <w:p>
            <w:pPr>
              <w:spacing w:line="360" w:lineRule="auto"/>
              <w:rPr>
                <w:bCs/>
                <w:iCs/>
                <w:sz w:val="24"/>
                <w:highlight w:val="none"/>
              </w:rPr>
            </w:pPr>
            <w:r>
              <w:rPr>
                <w:bCs/>
                <w:iCs/>
                <w:sz w:val="24"/>
                <w:highlight w:val="none"/>
              </w:rPr>
              <w:t>公司</w:t>
            </w:r>
            <w:r>
              <w:rPr>
                <w:rFonts w:hint="eastAsia"/>
                <w:bCs/>
                <w:iCs/>
                <w:sz w:val="24"/>
                <w:highlight w:val="none"/>
                <w:lang w:val="en-US" w:eastAsia="zh-CN"/>
              </w:rPr>
              <w:t>总部102</w:t>
            </w:r>
            <w:r>
              <w:rPr>
                <w:bCs/>
                <w:iCs/>
                <w:sz w:val="24"/>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highlight w:val="none"/>
              </w:rPr>
            </w:pPr>
            <w:r>
              <w:rPr>
                <w:bCs/>
                <w:iCs/>
                <w:sz w:val="24"/>
                <w:highlight w:val="none"/>
              </w:rPr>
              <w:t>上市公司</w:t>
            </w:r>
          </w:p>
          <w:p>
            <w:pPr>
              <w:spacing w:line="360" w:lineRule="auto"/>
              <w:jc w:val="center"/>
              <w:rPr>
                <w:bCs/>
                <w:iCs/>
                <w:sz w:val="24"/>
                <w:highlight w:val="none"/>
              </w:rPr>
            </w:pPr>
            <w:r>
              <w:rPr>
                <w:bCs/>
                <w:iCs/>
                <w:sz w:val="24"/>
                <w:highlight w:val="none"/>
              </w:rPr>
              <w:t>接待人员姓名</w:t>
            </w:r>
          </w:p>
        </w:tc>
        <w:tc>
          <w:tcPr>
            <w:tcW w:w="7322" w:type="dxa"/>
            <w:tcBorders>
              <w:top w:val="single" w:color="auto" w:sz="4" w:space="0"/>
              <w:left w:val="single" w:color="auto" w:sz="4" w:space="0"/>
              <w:bottom w:val="single" w:color="auto" w:sz="4" w:space="0"/>
              <w:right w:val="single" w:color="auto" w:sz="4" w:space="0"/>
            </w:tcBorders>
            <w:vAlign w:val="top"/>
          </w:tcPr>
          <w:p>
            <w:pPr>
              <w:spacing w:line="360" w:lineRule="auto"/>
              <w:rPr>
                <w:bCs/>
                <w:iCs/>
                <w:sz w:val="24"/>
                <w:highlight w:val="none"/>
              </w:rPr>
            </w:pPr>
            <w:r>
              <w:rPr>
                <w:rFonts w:hint="eastAsia"/>
                <w:bCs/>
                <w:iCs/>
                <w:sz w:val="24"/>
                <w:highlight w:val="none"/>
                <w:lang w:val="en-US" w:eastAsia="zh-CN"/>
              </w:rPr>
              <w:t xml:space="preserve">陈哲-副总裁兼董事会秘书，刘劲松—总裁助理兼财务负责人，赵晨、—证券事务代表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highlight w:val="none"/>
              </w:rPr>
            </w:pPr>
            <w:r>
              <w:rPr>
                <w:bCs/>
                <w:iCs/>
                <w:sz w:val="24"/>
                <w:highlight w:val="none"/>
              </w:rPr>
              <w:t>投资者关系活动主要内容介绍</w:t>
            </w:r>
          </w:p>
        </w:tc>
        <w:tc>
          <w:tcPr>
            <w:tcW w:w="7322" w:type="dxa"/>
            <w:tcBorders>
              <w:top w:val="single" w:color="auto" w:sz="4" w:space="0"/>
              <w:left w:val="single" w:color="auto" w:sz="4" w:space="0"/>
              <w:bottom w:val="single" w:color="auto" w:sz="4" w:space="0"/>
              <w:right w:val="single" w:color="auto" w:sz="4" w:space="0"/>
            </w:tcBorders>
            <w:vAlign w:val="top"/>
          </w:tcPr>
          <w:p>
            <w:pPr>
              <w:spacing w:line="360" w:lineRule="auto"/>
              <w:ind w:firstLine="482" w:firstLineChars="200"/>
              <w:rPr>
                <w:b/>
                <w:bCs/>
                <w:kern w:val="0"/>
                <w:sz w:val="24"/>
                <w:highlight w:val="none"/>
              </w:rPr>
            </w:pPr>
            <w:r>
              <w:rPr>
                <w:b/>
                <w:bCs/>
                <w:kern w:val="0"/>
                <w:sz w:val="24"/>
                <w:highlight w:val="none"/>
              </w:rPr>
              <w:t>1、介绍公司背景资质</w:t>
            </w:r>
            <w:r>
              <w:rPr>
                <w:rFonts w:hint="eastAsia"/>
                <w:b/>
                <w:bCs/>
                <w:kern w:val="0"/>
                <w:sz w:val="24"/>
                <w:highlight w:val="none"/>
              </w:rPr>
              <w:t>、</w:t>
            </w:r>
            <w:r>
              <w:rPr>
                <w:rFonts w:hint="eastAsia"/>
                <w:b/>
                <w:bCs/>
                <w:kern w:val="0"/>
                <w:sz w:val="24"/>
                <w:highlight w:val="none"/>
                <w:lang w:val="en-US" w:eastAsia="zh-CN"/>
              </w:rPr>
              <w:t>主要</w:t>
            </w:r>
            <w:r>
              <w:rPr>
                <w:b/>
                <w:bCs/>
                <w:kern w:val="0"/>
                <w:sz w:val="24"/>
                <w:highlight w:val="none"/>
              </w:rPr>
              <w:t>业务领域</w:t>
            </w:r>
            <w:r>
              <w:rPr>
                <w:rFonts w:hint="eastAsia"/>
                <w:b/>
                <w:bCs/>
                <w:kern w:val="0"/>
                <w:sz w:val="24"/>
                <w:highlight w:val="none"/>
              </w:rPr>
              <w:t>及</w:t>
            </w:r>
            <w:r>
              <w:rPr>
                <w:b/>
                <w:bCs/>
                <w:kern w:val="0"/>
                <w:sz w:val="24"/>
                <w:highlight w:val="none"/>
              </w:rPr>
              <w:t>改革调整思路</w:t>
            </w:r>
          </w:p>
          <w:p>
            <w:pPr>
              <w:spacing w:line="360" w:lineRule="auto"/>
              <w:ind w:firstLine="480" w:firstLineChars="200"/>
              <w:rPr>
                <w:rFonts w:hint="eastAsia"/>
                <w:kern w:val="0"/>
                <w:sz w:val="24"/>
                <w:highlight w:val="none"/>
                <w:lang w:eastAsia="zh-CN"/>
              </w:rPr>
            </w:pPr>
            <w:r>
              <w:rPr>
                <w:rFonts w:hint="eastAsia"/>
                <w:kern w:val="0"/>
                <w:sz w:val="24"/>
                <w:highlight w:val="none"/>
                <w:lang w:val="zh-CN"/>
              </w:rPr>
              <w:t>公司自成立以来，一直以先进金属材料及制品的研发、生产和销售为主业，是国内金属新材料行业的领军企业之一，也是国家高新技术企业</w:t>
            </w:r>
            <w:r>
              <w:rPr>
                <w:kern w:val="0"/>
                <w:sz w:val="24"/>
                <w:highlight w:val="none"/>
              </w:rPr>
              <w:t>。</w:t>
            </w:r>
            <w:r>
              <w:rPr>
                <w:rFonts w:hint="eastAsia"/>
                <w:kern w:val="0"/>
                <w:sz w:val="24"/>
                <w:highlight w:val="none"/>
              </w:rPr>
              <w:t>公司切实推进产业聚焦与取舍，在“十三五”期间</w:t>
            </w:r>
            <w:r>
              <w:rPr>
                <w:rFonts w:hint="eastAsia"/>
                <w:kern w:val="0"/>
                <w:sz w:val="24"/>
                <w:highlight w:val="none"/>
                <w:lang w:val="en-US" w:eastAsia="zh-CN"/>
              </w:rPr>
              <w:t>已初步形成</w:t>
            </w:r>
            <w:r>
              <w:rPr>
                <w:rFonts w:hint="eastAsia"/>
                <w:kern w:val="0"/>
                <w:sz w:val="24"/>
                <w:highlight w:val="none"/>
              </w:rPr>
              <w:t>“先进功能材料及器件、特种粉末冶金材料及制品、高品质特钢及焊接材料、环保与高端科技服务业”四大板块作为核心业务板块</w:t>
            </w:r>
            <w:r>
              <w:rPr>
                <w:rFonts w:hint="eastAsia"/>
                <w:kern w:val="0"/>
                <w:sz w:val="24"/>
                <w:highlight w:val="none"/>
                <w:lang w:eastAsia="zh-CN"/>
              </w:rPr>
              <w:t>。</w:t>
            </w:r>
          </w:p>
          <w:p>
            <w:pPr>
              <w:spacing w:line="360" w:lineRule="auto"/>
              <w:ind w:firstLine="480" w:firstLineChars="200"/>
              <w:rPr>
                <w:rFonts w:hint="eastAsia"/>
                <w:kern w:val="0"/>
                <w:sz w:val="24"/>
                <w:highlight w:val="none"/>
                <w:lang w:eastAsia="zh-CN"/>
              </w:rPr>
            </w:pPr>
            <w:r>
              <w:rPr>
                <w:rFonts w:hint="eastAsia"/>
                <w:kern w:val="0"/>
                <w:sz w:val="24"/>
                <w:highlight w:val="none"/>
                <w:lang w:val="en-US" w:eastAsia="zh-CN"/>
              </w:rPr>
              <w:t>公司</w:t>
            </w:r>
            <w:r>
              <w:rPr>
                <w:rFonts w:hint="eastAsia"/>
                <w:kern w:val="0"/>
                <w:sz w:val="24"/>
                <w:highlight w:val="none"/>
                <w:lang w:eastAsia="zh-CN"/>
              </w:rPr>
              <w:t>“先进功能材料及器件”包含非晶带材、纳米晶材料、稀土永磁材料、精密软磁合金</w:t>
            </w:r>
            <w:r>
              <w:rPr>
                <w:rFonts w:hint="eastAsia"/>
                <w:kern w:val="0"/>
                <w:sz w:val="24"/>
                <w:highlight w:val="none"/>
                <w:lang w:val="en-US" w:eastAsia="zh-CN"/>
              </w:rPr>
              <w:t>等业务，对应的主要控股公司为安泰南瑞非晶科技有限责任公司、安泰非晶制品分公司、上海安泰至高非晶金属有限公司、安泰功能材料事业部</w:t>
            </w:r>
            <w:r>
              <w:rPr>
                <w:rFonts w:hint="eastAsia"/>
                <w:kern w:val="0"/>
                <w:sz w:val="24"/>
                <w:highlight w:val="none"/>
                <w:lang w:eastAsia="zh-CN"/>
              </w:rPr>
              <w:t>；“特种粉末冶金材料及制品”包含难熔材料、超硬材料、注射成形产品、雾化制粉</w:t>
            </w:r>
            <w:r>
              <w:rPr>
                <w:rFonts w:hint="eastAsia"/>
                <w:kern w:val="0"/>
                <w:sz w:val="24"/>
                <w:highlight w:val="none"/>
                <w:lang w:val="en-US" w:eastAsia="zh-CN"/>
              </w:rPr>
              <w:t>等业务，对应的主要控股公司分别为安泰天龙钨钼科技有限公司、北京安泰中科金属材料有限公司、北京安泰钢研超硬材料制品有限公司、深圳市安泰海美格金属有限公司、安泰(霸州)特种粉业有限公司</w:t>
            </w:r>
            <w:r>
              <w:rPr>
                <w:rFonts w:hint="eastAsia"/>
                <w:kern w:val="0"/>
                <w:sz w:val="24"/>
                <w:highlight w:val="none"/>
                <w:lang w:eastAsia="zh-CN"/>
              </w:rPr>
              <w:t>；“高品质特钢及焊接材料”包含高速工具钢、高端模具钢、焊接材料</w:t>
            </w:r>
            <w:r>
              <w:rPr>
                <w:rFonts w:hint="eastAsia"/>
                <w:kern w:val="0"/>
                <w:sz w:val="24"/>
                <w:highlight w:val="none"/>
                <w:lang w:val="en-US" w:eastAsia="zh-CN"/>
              </w:rPr>
              <w:t>等业务，对应的主要控股公司为河冶科技股份有限公司、天津市三英焊业有限责任公司</w:t>
            </w:r>
            <w:r>
              <w:rPr>
                <w:rFonts w:hint="eastAsia"/>
                <w:kern w:val="0"/>
                <w:sz w:val="24"/>
                <w:highlight w:val="none"/>
                <w:lang w:eastAsia="zh-CN"/>
              </w:rPr>
              <w:t>；“环保与高端科技服务业”包含环保装备与工程、孵化器厂房运营、投资等</w:t>
            </w:r>
            <w:r>
              <w:rPr>
                <w:rFonts w:hint="eastAsia"/>
                <w:kern w:val="0"/>
                <w:sz w:val="24"/>
                <w:highlight w:val="none"/>
                <w:lang w:val="en-US" w:eastAsia="zh-CN"/>
              </w:rPr>
              <w:t>业务，对应的主要控股公司为安泰环境工程技术有限公司、安泰创业投资(深圳)有限公司</w:t>
            </w:r>
            <w:r>
              <w:rPr>
                <w:rFonts w:hint="eastAsia"/>
                <w:kern w:val="0"/>
                <w:sz w:val="24"/>
                <w:highlight w:val="none"/>
                <w:lang w:eastAsia="zh-CN"/>
              </w:rPr>
              <w:t>。</w:t>
            </w:r>
          </w:p>
          <w:p>
            <w:pPr>
              <w:spacing w:line="360" w:lineRule="auto"/>
              <w:ind w:firstLine="480" w:firstLineChars="200"/>
              <w:rPr>
                <w:sz w:val="24"/>
                <w:highlight w:val="none"/>
              </w:rPr>
            </w:pPr>
            <w:r>
              <w:rPr>
                <w:rFonts w:hint="eastAsia"/>
                <w:kern w:val="0"/>
                <w:sz w:val="24"/>
                <w:highlight w:val="none"/>
                <w:lang w:val="zh-CN"/>
              </w:rPr>
              <w:t>公司产品广泛应用于航空航天、核电、生物医疗、信息技术产业、节能与新能源汽车、船舶、轨道交通等领域，重点服务于战略性新兴产业。新材料作为国民经济的先导产业，被国家列为重点发展的10大产业领域之一。新材料产业在高端突破、进口替代、中低端转型升级方面孕育着巨大市场需求，公司未来面临重要发展机遇。</w:t>
            </w:r>
          </w:p>
          <w:p>
            <w:pPr>
              <w:spacing w:line="360" w:lineRule="auto"/>
              <w:ind w:firstLine="480" w:firstLineChars="200"/>
              <w:rPr>
                <w:rFonts w:hint="eastAsia"/>
                <w:sz w:val="24"/>
                <w:highlight w:val="none"/>
              </w:rPr>
            </w:pPr>
            <w:r>
              <w:rPr>
                <w:rFonts w:hint="eastAsia"/>
                <w:sz w:val="24"/>
                <w:highlight w:val="none"/>
                <w:lang w:val="en-US" w:eastAsia="zh-CN"/>
              </w:rPr>
              <w:t>2</w:t>
            </w:r>
            <w:r>
              <w:rPr>
                <w:rFonts w:hint="eastAsia"/>
                <w:sz w:val="24"/>
                <w:highlight w:val="none"/>
              </w:rPr>
              <w:t>019年，公司继续通过各项结构调整，坚持取舍，合理布局，配套激励政策，实现“增量共享，共同发展”的目标。</w:t>
            </w:r>
            <w:r>
              <w:rPr>
                <w:rFonts w:hint="eastAsia"/>
                <w:sz w:val="24"/>
                <w:highlight w:val="none"/>
                <w:lang w:val="en-US" w:eastAsia="zh-CN"/>
              </w:rPr>
              <w:t>上半年，通过</w:t>
            </w:r>
            <w:r>
              <w:rPr>
                <w:rFonts w:hint="eastAsia"/>
                <w:sz w:val="24"/>
                <w:highlight w:val="none"/>
              </w:rPr>
              <w:t>大力开拓市场，加强内部管理，严控成本费用，非晶、焊接业务板块大幅度减亏，经营业绩同比实现大幅增长。实现新签合同额25.2亿元，营业收入24.8亿元，利润总额1.08亿元，产品毛利率18.59%同比提升1.82%，经营性净现金流达2.54亿。各经营单位紧紧围绕市场开拓、技术创新、降本挖潜、达产达效等全面开展了一系列卓有成效的工作。</w:t>
            </w:r>
          </w:p>
          <w:p>
            <w:pPr>
              <w:spacing w:line="360" w:lineRule="auto"/>
              <w:ind w:firstLine="482" w:firstLineChars="200"/>
              <w:rPr>
                <w:rFonts w:hint="eastAsia"/>
                <w:b/>
                <w:bCs/>
                <w:sz w:val="24"/>
                <w:szCs w:val="28"/>
                <w:highlight w:val="none"/>
                <w:lang w:val="en-US" w:eastAsia="zh-CN"/>
              </w:rPr>
            </w:pPr>
            <w:r>
              <w:rPr>
                <w:rFonts w:hint="eastAsia"/>
                <w:b/>
                <w:bCs/>
                <w:sz w:val="24"/>
                <w:szCs w:val="28"/>
                <w:highlight w:val="none"/>
                <w:lang w:val="en-US" w:eastAsia="zh-CN"/>
              </w:rPr>
              <w:t>2、先进功能材料及器件业务板块相关情况</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公司“先进功能材料及器件”包含非晶带材、纳米晶材料、稀土永磁材料、精密软磁合金等业务，对应的主要控股公司为安泰南瑞非晶科技有限责任公司、安泰非晶制品分公司、上海安泰至高非晶金属有限公司、安泰功能材料事业部。</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稀土永磁材料及制品是安泰科技磁材业务的重要组成部分，也是公司的核心业务之一，公司磁性材料及制品主要应用于计算机、消费电子、各种电机、汽车、高端音响等中高端市场。为进一步提高产品档次和市场竞争力，2013年经公司董事会同意在公司空港产业园实施“新能源汽车用高性能稀土永磁制品产能扩大项目”，项目实施后增加烧结钕铁硼生产能力500吨/年，2016年该项目建设全面完成，并已进入生产状态。公司稀土永磁制品产能约2500-3000吨/年。目前，公司钕铁硼磁性材料已具备较强的产品开发能力、较强的市场开拓能力，所生产的高端钕铁硼磁性材料已经应用在高档消费电子（包括 VCM）、工业电机和汽车等重要领域，并取得了许多重要用户行业、国际主流客户的认证。</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上半年，安泰功能克服国内产能过剩、原材料价格大幅波动的不利因素，通过推行项目制运营模式与目标绩效考评模式，促进了市场开拓和生产运营效率提升，利润总额同比增加6.03%，实现了业务的稳步增长。公司通过股权受让和增资的方式控股爱科科技有限公司，同步引入战略投资者，实现整合各方优势资源，通过该项目实施，发挥各方协同效应，助推安泰科技稀土永磁产业做强做大做优。通过本次并购及产能扩产项目实施，安泰科技整体钕铁硼毛坯总产能将达到5500t/a，有效缓解产能瓶颈，进一步释放规模效应，使安泰科技稀土永磁业务产品供给能力与市场竞争力进一步提高，为公司建立万吨级高端稀土永磁产业奠定基础。</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安泰非晶充分抓住无线充电用纳米晶导磁片应用于主流品牌手机的市场机遇，上半年实现部分产品销售收入同比增加24%，利润同比增加101%。公司是国内独家供应纳米晶宽带，纳米晶导磁片产品是无线充电接收模组的一个组件，主要的客户是国内无线充电模组生产企业几家手机生产企业，都是国内知名的手机配套企业，主要应用于华为、小米等手机中。公司积极推动纳米晶带材产品在电动汽车、逆变焊机、家电行业等市场应用，发挥板块业务协同的作用，加大海内外市场的推广。</w:t>
            </w:r>
          </w:p>
          <w:p>
            <w:pPr>
              <w:spacing w:line="360" w:lineRule="auto"/>
              <w:ind w:firstLine="480" w:firstLineChars="200"/>
              <w:rPr>
                <w:rFonts w:hint="default"/>
                <w:sz w:val="24"/>
                <w:szCs w:val="28"/>
                <w:highlight w:val="none"/>
                <w:lang w:val="en-US" w:eastAsia="zh-CN"/>
              </w:rPr>
            </w:pPr>
            <w:r>
              <w:rPr>
                <w:rFonts w:hint="eastAsia"/>
                <w:sz w:val="24"/>
                <w:szCs w:val="28"/>
                <w:highlight w:val="none"/>
                <w:lang w:val="en-US" w:eastAsia="zh-CN"/>
              </w:rPr>
              <w:t>公司将以“先进功能材料及器件、特种粉末冶金材料及制品”两大板块为核心产业进一步聚焦取舍、择优扶强的战略，通过持续注入优势资源和配套政策，推动两大产业进入世界一流行业地位，实现“双核“驱动发展的业务格局。</w:t>
            </w:r>
          </w:p>
          <w:p>
            <w:pPr>
              <w:spacing w:line="360" w:lineRule="auto"/>
              <w:ind w:firstLine="482" w:firstLineChars="200"/>
              <w:rPr>
                <w:rFonts w:hint="eastAsia" w:eastAsia="宋体"/>
                <w:b/>
                <w:bCs/>
                <w:kern w:val="0"/>
                <w:sz w:val="24"/>
                <w:highlight w:val="none"/>
                <w:lang w:val="en-US" w:eastAsia="zh-CN"/>
              </w:rPr>
            </w:pPr>
            <w:r>
              <w:rPr>
                <w:rFonts w:hint="eastAsia"/>
                <w:b/>
                <w:bCs/>
                <w:kern w:val="0"/>
                <w:sz w:val="24"/>
                <w:highlight w:val="none"/>
                <w:lang w:val="en-US" w:eastAsia="zh-CN"/>
              </w:rPr>
              <w:t>3、安泰天龙业务情况</w:t>
            </w:r>
          </w:p>
          <w:p>
            <w:pPr>
              <w:spacing w:line="360" w:lineRule="auto"/>
              <w:ind w:firstLine="480"/>
              <w:rPr>
                <w:rFonts w:hint="eastAsia"/>
                <w:kern w:val="0"/>
                <w:sz w:val="24"/>
                <w:highlight w:val="none"/>
              </w:rPr>
            </w:pPr>
            <w:r>
              <w:rPr>
                <w:rFonts w:hint="eastAsia"/>
                <w:kern w:val="0"/>
                <w:sz w:val="24"/>
                <w:highlight w:val="none"/>
                <w:lang w:val="en-US" w:eastAsia="zh-CN"/>
              </w:rPr>
              <w:t>2015年，</w:t>
            </w:r>
            <w:bookmarkStart w:id="0" w:name="_GoBack"/>
            <w:bookmarkEnd w:id="0"/>
            <w:r>
              <w:rPr>
                <w:rFonts w:hint="eastAsia"/>
                <w:kern w:val="0"/>
                <w:sz w:val="24"/>
                <w:highlight w:val="none"/>
              </w:rPr>
              <w:t>公司以总投资10.36亿元收购钨钼行业重要企业北京天龙钨钼科技股份有限公司的100%股权，同时将公司难熔材料业务资产注入该企业，并引入市场化经营机制和团队，通过创新模式的探索，突破现有的体制机制，从而激发企业活力。在该项目实施的同时，通过推动实施“管理层与核心骨干参与认购公司非公开发行股票的股权投资计划”，在完善考核激励机制、稳定核心团队方面起到了重要作用。该项目改革探索的成功，为公司其他主营业务板块利用自身优势、整合行业资源、实现转型发展提供经验借鉴。</w:t>
            </w:r>
          </w:p>
          <w:p>
            <w:pPr>
              <w:spacing w:line="360" w:lineRule="auto"/>
              <w:ind w:firstLine="480" w:firstLineChars="200"/>
              <w:rPr>
                <w:rFonts w:hint="eastAsia"/>
                <w:kern w:val="0"/>
                <w:sz w:val="24"/>
                <w:highlight w:val="none"/>
                <w:lang w:val="en-US" w:eastAsia="zh-CN"/>
              </w:rPr>
            </w:pPr>
            <w:r>
              <w:rPr>
                <w:rFonts w:hint="eastAsia"/>
                <w:kern w:val="0"/>
                <w:sz w:val="24"/>
                <w:highlight w:val="none"/>
                <w:lang w:val="en-US" w:eastAsia="zh-CN"/>
              </w:rPr>
              <w:t>安泰天龙是安泰科技中专业从事难熔金属材料研究、制造和服务的业务单元，承接了中国钢研科技集团在这一领域六十多年不懈耕耘和北京天龙近二十年快速发展所积累的成果，是央企发挥自身优势、整合社会资源、创新发展机制的典范，为中国钨钼材料精深加工产业避免重复建设、杜绝恶性竞争、形成发展合力、走向国际高端做出了卓越贡献。</w:t>
            </w:r>
          </w:p>
          <w:p>
            <w:pPr>
              <w:spacing w:line="360" w:lineRule="auto"/>
              <w:ind w:firstLine="480" w:firstLineChars="200"/>
              <w:rPr>
                <w:rFonts w:hint="eastAsia"/>
                <w:kern w:val="0"/>
                <w:sz w:val="24"/>
                <w:highlight w:val="none"/>
                <w:lang w:val="en-US" w:eastAsia="zh-CN"/>
              </w:rPr>
            </w:pPr>
            <w:r>
              <w:rPr>
                <w:rFonts w:hint="eastAsia"/>
                <w:kern w:val="0"/>
                <w:sz w:val="24"/>
                <w:highlight w:val="none"/>
                <w:lang w:val="en-US" w:eastAsia="zh-CN"/>
              </w:rPr>
              <w:t>安泰天龙作为国内钨钼材料精深加工领域的领军企业，产品服务</w:t>
            </w:r>
          </w:p>
          <w:p>
            <w:pPr>
              <w:spacing w:line="360" w:lineRule="auto"/>
              <w:rPr>
                <w:rFonts w:hint="eastAsia"/>
                <w:kern w:val="0"/>
                <w:sz w:val="24"/>
                <w:highlight w:val="none"/>
                <w:lang w:val="en-US" w:eastAsia="zh-CN"/>
              </w:rPr>
            </w:pPr>
            <w:r>
              <w:rPr>
                <w:rFonts w:hint="eastAsia"/>
                <w:kern w:val="0"/>
                <w:sz w:val="24"/>
                <w:highlight w:val="none"/>
                <w:lang w:val="en-US" w:eastAsia="zh-CN"/>
              </w:rPr>
              <w:t>国内和全球高端市场和大科技工程。产品主要应用于航空航天、军工、核电、太阳能、半导体、电力电子、高端医疗装备、新能源汽车等领域。</w:t>
            </w:r>
          </w:p>
          <w:p>
            <w:pPr>
              <w:spacing w:line="360" w:lineRule="auto"/>
              <w:ind w:firstLine="480" w:firstLineChars="200"/>
              <w:rPr>
                <w:rFonts w:hint="eastAsia"/>
                <w:kern w:val="0"/>
                <w:sz w:val="24"/>
                <w:highlight w:val="none"/>
                <w:lang w:val="en-US" w:eastAsia="zh-CN"/>
              </w:rPr>
            </w:pPr>
            <w:r>
              <w:rPr>
                <w:rFonts w:hint="eastAsia"/>
                <w:kern w:val="0"/>
                <w:sz w:val="24"/>
                <w:highlight w:val="none"/>
                <w:lang w:val="en-US" w:eastAsia="zh-CN"/>
              </w:rPr>
              <w:t>航空航天方面，钨、钼精深加工产品用于飞机、火箭的推进系统中，以保证机械系统良好的耐腐蚀性，同时能降低能耗。</w:t>
            </w:r>
          </w:p>
          <w:p>
            <w:pPr>
              <w:spacing w:line="360" w:lineRule="auto"/>
              <w:ind w:firstLine="480" w:firstLineChars="200"/>
              <w:rPr>
                <w:rFonts w:hint="eastAsia"/>
                <w:kern w:val="0"/>
                <w:sz w:val="24"/>
                <w:highlight w:val="none"/>
                <w:lang w:val="en-US" w:eastAsia="zh-CN"/>
              </w:rPr>
            </w:pPr>
            <w:r>
              <w:rPr>
                <w:rFonts w:hint="eastAsia"/>
                <w:kern w:val="0"/>
                <w:sz w:val="24"/>
                <w:highlight w:val="none"/>
                <w:lang w:val="en-US" w:eastAsia="zh-CN"/>
              </w:rPr>
              <w:t>医疗器械方面，利用钨基高比重合金对X射线的强衰减能力，可将钨、钼精深加工产品用做各种放射性源的屏蔽元件或容器。</w:t>
            </w:r>
          </w:p>
          <w:p>
            <w:pPr>
              <w:spacing w:line="360" w:lineRule="auto"/>
              <w:ind w:firstLine="480" w:firstLineChars="200"/>
              <w:rPr>
                <w:rFonts w:hint="eastAsia"/>
                <w:kern w:val="0"/>
                <w:sz w:val="24"/>
                <w:highlight w:val="none"/>
                <w:lang w:val="en-US" w:eastAsia="zh-CN"/>
              </w:rPr>
            </w:pPr>
            <w:r>
              <w:rPr>
                <w:rFonts w:hint="eastAsia"/>
                <w:kern w:val="0"/>
                <w:sz w:val="24"/>
                <w:highlight w:val="none"/>
                <w:lang w:val="en-US" w:eastAsia="zh-CN"/>
              </w:rPr>
              <w:t xml:space="preserve">蓝宝石长晶炉热场方面，利用钨、钼材料的高熔点和耐热性能，可将钨、钼精深加工产品用蓝宝石长晶炉热场生产蓝宝石。 </w:t>
            </w:r>
          </w:p>
          <w:p>
            <w:pPr>
              <w:spacing w:line="360" w:lineRule="auto"/>
              <w:ind w:firstLine="480" w:firstLineChars="200"/>
              <w:rPr>
                <w:rFonts w:hint="eastAsia"/>
                <w:kern w:val="0"/>
                <w:sz w:val="24"/>
                <w:highlight w:val="none"/>
                <w:lang w:val="en-US" w:eastAsia="zh-CN"/>
              </w:rPr>
            </w:pPr>
            <w:r>
              <w:rPr>
                <w:rFonts w:hint="eastAsia"/>
                <w:kern w:val="0"/>
                <w:sz w:val="24"/>
                <w:highlight w:val="none"/>
                <w:lang w:val="en-US" w:eastAsia="zh-CN"/>
              </w:rPr>
              <w:t>钨电极及高压开关方面，利用钨电极起弧性能好，弧柱稳定性高，电极烧损率小的特点，可将钨铜合金用作高中压开关或断路器的弧触头和真空触头，钍钨电极因起弧性能好主要应用在焊接上。</w:t>
            </w:r>
          </w:p>
          <w:p>
            <w:pPr>
              <w:spacing w:line="360" w:lineRule="auto"/>
              <w:ind w:firstLine="480" w:firstLineChars="200"/>
              <w:rPr>
                <w:rFonts w:hint="default"/>
                <w:kern w:val="0"/>
                <w:sz w:val="24"/>
                <w:highlight w:val="none"/>
                <w:lang w:val="en-US" w:eastAsia="zh-CN"/>
              </w:rPr>
            </w:pPr>
            <w:r>
              <w:rPr>
                <w:rFonts w:hint="eastAsia"/>
                <w:kern w:val="0"/>
                <w:sz w:val="24"/>
                <w:highlight w:val="none"/>
                <w:lang w:val="en-US" w:eastAsia="zh-CN"/>
              </w:rPr>
              <w:t>上半年，安泰天龙克服国内外经济下行压力和中美贸易摩擦不利的影响，核医疗、微电子等高端业务销售收入增加40%以上。</w:t>
            </w:r>
          </w:p>
          <w:p>
            <w:pPr>
              <w:spacing w:line="360" w:lineRule="auto"/>
              <w:ind w:firstLine="482" w:firstLineChars="200"/>
              <w:rPr>
                <w:rFonts w:hint="eastAsia"/>
                <w:b/>
                <w:bCs/>
                <w:sz w:val="24"/>
                <w:szCs w:val="28"/>
                <w:highlight w:val="none"/>
                <w:lang w:val="en-US" w:eastAsia="zh-CN"/>
              </w:rPr>
            </w:pPr>
            <w:r>
              <w:rPr>
                <w:rFonts w:hint="eastAsia"/>
                <w:b/>
                <w:bCs/>
                <w:sz w:val="24"/>
                <w:szCs w:val="28"/>
                <w:highlight w:val="none"/>
                <w:lang w:val="en-US" w:eastAsia="zh-CN"/>
              </w:rPr>
              <w:t>4、安泰（霸州）特种粉末领域业务及3D打印</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根据公司改革调整及业务发展需要，结合国家“京津冀一体化”发展战略，基于自身在特种雾化合金粉末领域长期积累的技术优势以及市场品牌基础，公司整合社会资源，结合霸州当地资源禀赋、成本优势以及成熟的产业配套优势，对金属制粉业务重新布局，在河北霸州成立合资企业，嫁接民营资本，同时引入核心骨干持股，创新机制，推动产业突围发展。安泰（霸州）特粉公司持股比例50%，主要聚焦具有产品特色和一定规模的软磁粉末、MIM不锈钢粉末、金刚石工具胎体粉末、触媒粉末等产品，力争成为国内先进、国际知名的一流高端特种合金粉末制备商以及应用方案的提供者。上半年，安泰特粉通过开拓国际优质客户，MIM粉末销量同比增加23%。</w:t>
            </w:r>
          </w:p>
          <w:p>
            <w:pPr>
              <w:spacing w:line="360" w:lineRule="auto"/>
              <w:ind w:firstLine="480" w:firstLineChars="200"/>
              <w:rPr>
                <w:rFonts w:hint="default"/>
                <w:sz w:val="24"/>
                <w:szCs w:val="28"/>
                <w:highlight w:val="none"/>
                <w:lang w:val="en-US" w:eastAsia="zh-CN"/>
              </w:rPr>
            </w:pPr>
            <w:r>
              <w:rPr>
                <w:rFonts w:hint="eastAsia"/>
                <w:sz w:val="24"/>
                <w:szCs w:val="28"/>
                <w:highlight w:val="none"/>
                <w:lang w:val="en-US" w:eastAsia="zh-CN"/>
              </w:rPr>
              <w:t>2015年开始，公司积极参与3D打印相关研发合作，与陕西省渭南高新技术产业开发区共同组建渭南3D打印金属粉末材料工程技术研究中心，开展技术研发与转化合作，对3D打印金属粉末关键、核心技术进行联合攻关。目前3D打印粉末的主要制备方法中，气雾化法是唯一能够高效、大批量、低成本的进行3D打印金属粉末制备的方法。公司发挥在雾化制粉方面的技术、装备优势，合作建设真空气雾化制粉技术平台，实现产业链的优势互补，持续推动在增材制造粉末市场的开拓。</w:t>
            </w:r>
          </w:p>
          <w:p>
            <w:pPr>
              <w:spacing w:line="360" w:lineRule="auto"/>
              <w:ind w:firstLine="480" w:firstLineChars="200"/>
              <w:rPr>
                <w:kern w:val="0"/>
                <w:sz w:val="24"/>
                <w:highlight w:val="none"/>
              </w:rPr>
            </w:pPr>
            <w:r>
              <w:rPr>
                <w:kern w:val="0"/>
                <w:sz w:val="24"/>
                <w:highlight w:val="none"/>
              </w:rPr>
              <w:t>本次接待过程中，公司与投资者进行了交流与沟通，严格依照《信息披露管理制度》等规定执行，保证信息披露的真实、准确、完整、及时、公平，未出现未公开重大信息泄露等情况，同时已按深交所要求签署调研《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rPr>
                <w:bCs/>
                <w:iCs/>
                <w:sz w:val="24"/>
                <w:highlight w:val="none"/>
              </w:rPr>
            </w:pPr>
            <w:r>
              <w:rPr>
                <w:bCs/>
                <w:iCs/>
                <w:sz w:val="24"/>
                <w:highlight w:val="none"/>
              </w:rPr>
              <w:t>附件清单（如有）</w:t>
            </w:r>
          </w:p>
        </w:tc>
        <w:tc>
          <w:tcPr>
            <w:tcW w:w="7322" w:type="dxa"/>
            <w:tcBorders>
              <w:top w:val="single" w:color="auto" w:sz="4" w:space="0"/>
              <w:left w:val="single" w:color="auto" w:sz="4" w:space="0"/>
              <w:bottom w:val="single" w:color="auto" w:sz="4" w:space="0"/>
              <w:right w:val="single" w:color="auto" w:sz="4" w:space="0"/>
            </w:tcBorders>
            <w:vAlign w:val="top"/>
          </w:tcPr>
          <w:p>
            <w:pPr>
              <w:spacing w:line="360" w:lineRule="auto"/>
              <w:rPr>
                <w:bCs/>
                <w:iCs/>
                <w:sz w:val="24"/>
                <w:highlight w:val="none"/>
              </w:rPr>
            </w:pPr>
            <w:r>
              <w:rPr>
                <w:bCs/>
                <w:iCs/>
                <w:sz w:val="24"/>
                <w:highlight w:val="none"/>
              </w:rPr>
              <w:t>公司简介（</w:t>
            </w:r>
            <w:r>
              <w:rPr>
                <w:rFonts w:hint="eastAsia"/>
                <w:bCs/>
                <w:iCs/>
                <w:sz w:val="24"/>
                <w:highlight w:val="none"/>
                <w:lang w:val="en-US" w:eastAsia="zh-CN"/>
              </w:rPr>
              <w:t>摘自</w:t>
            </w:r>
            <w:r>
              <w:rPr>
                <w:bCs/>
                <w:iCs/>
                <w:sz w:val="24"/>
                <w:highlight w:val="none"/>
              </w:rPr>
              <w:t>公司网站</w:t>
            </w:r>
            <w:r>
              <w:rPr>
                <w:bCs/>
                <w:iCs/>
                <w:sz w:val="24"/>
                <w:highlight w:val="none"/>
              </w:rPr>
              <w:fldChar w:fldCharType="begin"/>
            </w:r>
            <w:r>
              <w:rPr>
                <w:bCs/>
                <w:iCs/>
                <w:sz w:val="24"/>
                <w:highlight w:val="none"/>
              </w:rPr>
              <w:instrText xml:space="preserve"> HYPERLINK "http://www.atmcn.com" </w:instrText>
            </w:r>
            <w:r>
              <w:rPr>
                <w:bCs/>
                <w:iCs/>
                <w:sz w:val="24"/>
                <w:highlight w:val="none"/>
              </w:rPr>
              <w:fldChar w:fldCharType="separate"/>
            </w:r>
            <w:r>
              <w:rPr>
                <w:rStyle w:val="9"/>
                <w:bCs/>
                <w:iCs/>
                <w:color w:val="auto"/>
                <w:sz w:val="24"/>
                <w:highlight w:val="none"/>
              </w:rPr>
              <w:t>www.atmcn.com</w:t>
            </w:r>
            <w:r>
              <w:rPr>
                <w:bCs/>
                <w:iCs/>
                <w:sz w:val="24"/>
                <w:highlight w:val="none"/>
              </w:rPr>
              <w:fldChar w:fldCharType="end"/>
            </w:r>
            <w:r>
              <w:rPr>
                <w:rFonts w:hint="eastAsia"/>
                <w:bCs/>
                <w:iCs/>
                <w:sz w:val="24"/>
                <w:highlight w:val="none"/>
                <w:lang w:val="en-US" w:eastAsia="zh-CN"/>
              </w:rPr>
              <w:t>的相关业务介绍</w:t>
            </w:r>
            <w:r>
              <w:rPr>
                <w:bCs/>
                <w:iCs/>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rPr>
                <w:bCs/>
                <w:iCs/>
                <w:sz w:val="24"/>
                <w:highlight w:val="none"/>
              </w:rPr>
            </w:pPr>
            <w:r>
              <w:rPr>
                <w:rFonts w:hint="eastAsia"/>
                <w:bCs/>
                <w:iCs/>
                <w:sz w:val="24"/>
                <w:highlight w:val="none"/>
                <w:lang w:val="en-US" w:eastAsia="zh-CN"/>
              </w:rPr>
              <w:t>披露</w:t>
            </w:r>
            <w:r>
              <w:rPr>
                <w:bCs/>
                <w:iCs/>
                <w:sz w:val="24"/>
                <w:highlight w:val="none"/>
              </w:rPr>
              <w:t>日期</w:t>
            </w:r>
          </w:p>
        </w:tc>
        <w:tc>
          <w:tcPr>
            <w:tcW w:w="7322" w:type="dxa"/>
            <w:tcBorders>
              <w:top w:val="single" w:color="auto" w:sz="4" w:space="0"/>
              <w:left w:val="single" w:color="auto" w:sz="4" w:space="0"/>
              <w:bottom w:val="single" w:color="auto" w:sz="4" w:space="0"/>
              <w:right w:val="single" w:color="auto" w:sz="4" w:space="0"/>
            </w:tcBorders>
            <w:vAlign w:val="top"/>
          </w:tcPr>
          <w:p>
            <w:pPr>
              <w:spacing w:line="360" w:lineRule="auto"/>
              <w:rPr>
                <w:bCs/>
                <w:iCs/>
                <w:sz w:val="24"/>
                <w:highlight w:val="none"/>
              </w:rPr>
            </w:pPr>
            <w:r>
              <w:rPr>
                <w:bCs/>
                <w:iCs/>
                <w:sz w:val="24"/>
                <w:highlight w:val="none"/>
              </w:rPr>
              <w:t>201</w:t>
            </w:r>
            <w:r>
              <w:rPr>
                <w:rFonts w:hint="eastAsia"/>
                <w:bCs/>
                <w:iCs/>
                <w:sz w:val="24"/>
                <w:highlight w:val="none"/>
                <w:lang w:val="en-US" w:eastAsia="zh-CN"/>
              </w:rPr>
              <w:t>9</w:t>
            </w:r>
            <w:r>
              <w:rPr>
                <w:bCs/>
                <w:iCs/>
                <w:sz w:val="24"/>
                <w:highlight w:val="none"/>
              </w:rPr>
              <w:t>年</w:t>
            </w:r>
            <w:r>
              <w:rPr>
                <w:rFonts w:hint="eastAsia"/>
                <w:bCs/>
                <w:iCs/>
                <w:sz w:val="24"/>
                <w:highlight w:val="none"/>
                <w:lang w:val="en-US" w:eastAsia="zh-CN"/>
              </w:rPr>
              <w:t>10</w:t>
            </w:r>
            <w:r>
              <w:rPr>
                <w:bCs/>
                <w:iCs/>
                <w:sz w:val="24"/>
                <w:highlight w:val="none"/>
              </w:rPr>
              <w:t>月</w:t>
            </w:r>
            <w:r>
              <w:rPr>
                <w:rFonts w:hint="eastAsia"/>
                <w:bCs/>
                <w:iCs/>
                <w:sz w:val="24"/>
                <w:highlight w:val="none"/>
                <w:lang w:val="en-US" w:eastAsia="zh-CN"/>
              </w:rPr>
              <w:t>11</w:t>
            </w:r>
            <w:r>
              <w:rPr>
                <w:bCs/>
                <w:iCs/>
                <w:sz w:val="24"/>
                <w:highlight w:val="none"/>
              </w:rPr>
              <w:t>日</w:t>
            </w:r>
          </w:p>
        </w:tc>
      </w:tr>
    </w:tbl>
    <w:p/>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4E5F82"/>
    <w:rsid w:val="0247309C"/>
    <w:rsid w:val="028909BA"/>
    <w:rsid w:val="02D817A3"/>
    <w:rsid w:val="03055D87"/>
    <w:rsid w:val="035D650A"/>
    <w:rsid w:val="038F2C36"/>
    <w:rsid w:val="044F12AB"/>
    <w:rsid w:val="081D450A"/>
    <w:rsid w:val="09333F26"/>
    <w:rsid w:val="0B971FA6"/>
    <w:rsid w:val="0CAA4C53"/>
    <w:rsid w:val="0DF56D05"/>
    <w:rsid w:val="10D34D09"/>
    <w:rsid w:val="134C65D3"/>
    <w:rsid w:val="142F12B7"/>
    <w:rsid w:val="14814475"/>
    <w:rsid w:val="156A2A07"/>
    <w:rsid w:val="17C32106"/>
    <w:rsid w:val="1DDC5758"/>
    <w:rsid w:val="1E737FB1"/>
    <w:rsid w:val="205040CE"/>
    <w:rsid w:val="2068067E"/>
    <w:rsid w:val="211F3DFC"/>
    <w:rsid w:val="23077D6E"/>
    <w:rsid w:val="244850FE"/>
    <w:rsid w:val="274E5F82"/>
    <w:rsid w:val="28A97DB0"/>
    <w:rsid w:val="293621FD"/>
    <w:rsid w:val="2A813F8A"/>
    <w:rsid w:val="2C763504"/>
    <w:rsid w:val="2C8809FB"/>
    <w:rsid w:val="2E522C15"/>
    <w:rsid w:val="2EBA41E4"/>
    <w:rsid w:val="30CB277C"/>
    <w:rsid w:val="30DD2369"/>
    <w:rsid w:val="30ED3589"/>
    <w:rsid w:val="325A2AFD"/>
    <w:rsid w:val="348727E4"/>
    <w:rsid w:val="35536F2E"/>
    <w:rsid w:val="35DE3E2F"/>
    <w:rsid w:val="38E81805"/>
    <w:rsid w:val="3C822C00"/>
    <w:rsid w:val="3DAF1992"/>
    <w:rsid w:val="401C0D0B"/>
    <w:rsid w:val="41741B70"/>
    <w:rsid w:val="43EB53CA"/>
    <w:rsid w:val="46DC592E"/>
    <w:rsid w:val="474A6FD5"/>
    <w:rsid w:val="4A957F38"/>
    <w:rsid w:val="4AD5306B"/>
    <w:rsid w:val="4BFF143B"/>
    <w:rsid w:val="4C242847"/>
    <w:rsid w:val="4C605035"/>
    <w:rsid w:val="4D0E6C0E"/>
    <w:rsid w:val="4E8673BB"/>
    <w:rsid w:val="54291DD1"/>
    <w:rsid w:val="5543531D"/>
    <w:rsid w:val="573C5734"/>
    <w:rsid w:val="576E0A01"/>
    <w:rsid w:val="57733A20"/>
    <w:rsid w:val="593F4B04"/>
    <w:rsid w:val="5B1F5247"/>
    <w:rsid w:val="5CA23B87"/>
    <w:rsid w:val="5D0F5A4C"/>
    <w:rsid w:val="62762D19"/>
    <w:rsid w:val="632C764E"/>
    <w:rsid w:val="668C0DCA"/>
    <w:rsid w:val="672C74D4"/>
    <w:rsid w:val="672E23DB"/>
    <w:rsid w:val="6B110397"/>
    <w:rsid w:val="6B7C318A"/>
    <w:rsid w:val="6C300228"/>
    <w:rsid w:val="6CA72073"/>
    <w:rsid w:val="6CDF413F"/>
    <w:rsid w:val="6E233647"/>
    <w:rsid w:val="6E2470AB"/>
    <w:rsid w:val="6F4F5956"/>
    <w:rsid w:val="70F36C2A"/>
    <w:rsid w:val="7150505B"/>
    <w:rsid w:val="71DD6F7F"/>
    <w:rsid w:val="73602F73"/>
    <w:rsid w:val="740C6D85"/>
    <w:rsid w:val="76F903A0"/>
    <w:rsid w:val="787D616C"/>
    <w:rsid w:val="79DF2D2C"/>
    <w:rsid w:val="7A5C4635"/>
    <w:rsid w:val="7AB95EB1"/>
    <w:rsid w:val="7BC635A1"/>
    <w:rsid w:val="7DDC2A32"/>
    <w:rsid w:val="7F0A6E0D"/>
    <w:rsid w:val="7F17259D"/>
    <w:rsid w:val="7FE229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qFormat/>
    <w:uiPriority w:val="0"/>
    <w:rPr>
      <w:sz w:val="18"/>
      <w:szCs w:val="20"/>
    </w:rPr>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6">
    <w:name w:val="Char Char5"/>
    <w:basedOn w:val="1"/>
    <w:link w:val="5"/>
    <w:qFormat/>
    <w:uiPriority w:val="0"/>
    <w:pPr>
      <w:tabs>
        <w:tab w:val="left" w:pos="1320"/>
      </w:tabs>
      <w:ind w:left="425" w:hanging="425"/>
    </w:pPr>
    <w:rPr>
      <w:sz w:val="18"/>
      <w:szCs w:val="20"/>
    </w:rPr>
  </w:style>
  <w:style w:type="character" w:styleId="7">
    <w:name w:val="page number"/>
    <w:basedOn w:val="5"/>
    <w:qFormat/>
    <w:uiPriority w:val="0"/>
  </w:style>
  <w:style w:type="character" w:styleId="8">
    <w:name w:val="FollowedHyperlink"/>
    <w:basedOn w:val="5"/>
    <w:qFormat/>
    <w:uiPriority w:val="0"/>
    <w:rPr>
      <w:color w:val="000000"/>
      <w:u w:val="none"/>
    </w:rPr>
  </w:style>
  <w:style w:type="character" w:styleId="9">
    <w:name w:val="Hyperlink"/>
    <w:basedOn w:val="5"/>
    <w:qFormat/>
    <w:uiPriority w:val="0"/>
    <w:rPr>
      <w:color w:val="000000"/>
      <w:u w:val="none"/>
    </w:rPr>
  </w:style>
  <w:style w:type="character" w:customStyle="1" w:styleId="11">
    <w:name w:val="black"/>
    <w:basedOn w:val="5"/>
    <w:qFormat/>
    <w:uiPriority w:val="0"/>
    <w:rPr>
      <w:color w:val="000000"/>
      <w:u w:val="single"/>
    </w:rPr>
  </w:style>
  <w:style w:type="character" w:customStyle="1" w:styleId="12">
    <w:name w:val="blue"/>
    <w:basedOn w:val="5"/>
    <w:qFormat/>
    <w:uiPriority w:val="0"/>
    <w:rPr>
      <w:color w:val="173EE8"/>
      <w:u w:val="single"/>
    </w:rPr>
  </w:style>
  <w:style w:type="character" w:customStyle="1" w:styleId="13">
    <w:name w:val="blue-n"/>
    <w:basedOn w:val="5"/>
    <w:qFormat/>
    <w:uiPriority w:val="0"/>
    <w:rPr>
      <w:color w:val="173EE8"/>
      <w:u w:val="none"/>
    </w:rPr>
  </w:style>
  <w:style w:type="character" w:customStyle="1" w:styleId="14">
    <w:name w:val="blue-n1"/>
    <w:basedOn w:val="5"/>
    <w:qFormat/>
    <w:uiPriority w:val="0"/>
    <w:rPr>
      <w:color w:val="000000"/>
      <w:u w:val="single"/>
    </w:rPr>
  </w:style>
  <w:style w:type="character" w:customStyle="1" w:styleId="15">
    <w:name w:val="red-n"/>
    <w:basedOn w:val="5"/>
    <w:qFormat/>
    <w:uiPriority w:val="0"/>
    <w:rPr>
      <w:color w:val="CC0000"/>
      <w:u w:val="none"/>
    </w:rPr>
  </w:style>
  <w:style w:type="character" w:customStyle="1" w:styleId="16">
    <w:name w:val="red-n1"/>
    <w:basedOn w:val="5"/>
    <w:qFormat/>
    <w:uiPriority w:val="0"/>
    <w:rPr>
      <w:color w:val="CC0000"/>
    </w:rPr>
  </w:style>
  <w:style w:type="character" w:customStyle="1" w:styleId="17">
    <w:name w:val="black-n"/>
    <w:basedOn w:val="5"/>
    <w:qFormat/>
    <w:uiPriority w:val="0"/>
    <w:rPr>
      <w:color w:val="000000"/>
      <w:u w:val="none"/>
    </w:rPr>
  </w:style>
  <w:style w:type="character" w:customStyle="1" w:styleId="18">
    <w:name w:val="black-n1"/>
    <w:basedOn w:val="5"/>
    <w:qFormat/>
    <w:uiPriority w:val="0"/>
    <w:rPr>
      <w:color w:val="000000"/>
    </w:rPr>
  </w:style>
  <w:style w:type="character" w:customStyle="1" w:styleId="19">
    <w:name w:val="red"/>
    <w:basedOn w:val="5"/>
    <w:qFormat/>
    <w:uiPriority w:val="0"/>
    <w:rPr>
      <w:color w:val="CC0000"/>
      <w:u w:val="single"/>
    </w:rPr>
  </w:style>
  <w:style w:type="character" w:customStyle="1" w:styleId="20">
    <w:name w:val="red1"/>
    <w:basedOn w:val="5"/>
    <w:qFormat/>
    <w:uiPriority w:val="0"/>
    <w:rPr>
      <w:color w:val="CC0000"/>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2017-09-08T03:14:00Z</dcterms:created>
  <dc:creator>Rico Nie</dc:creator>
  <cp:lastModifiedBy>赵晨</cp:lastModifiedBy>
  <dcterms:modified xsi:type="dcterms:W3CDTF">2019-10-11T01:58:55Z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