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E3F79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中信</w:t>
            </w:r>
            <w:r w:rsidR="0047147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证券调研团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3E3F79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E3F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3E3F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E3F79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蔡新发</w:t>
            </w:r>
            <w:r w:rsidR="0047147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5E254B" w:rsidRPr="00CA0689" w:rsidRDefault="005E254B" w:rsidP="005E254B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5E254B" w:rsidRDefault="005E254B" w:rsidP="005E254B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5E254B" w:rsidRPr="005E254B" w:rsidRDefault="005E254B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471475" w:rsidRPr="00471475" w:rsidRDefault="003E3F79" w:rsidP="0047147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公司的零售战略</w:t>
            </w:r>
            <w:r w:rsidR="00471475" w:rsidRPr="00471475">
              <w:rPr>
                <w:rFonts w:ascii="Arial" w:eastAsia="华文细黑" w:hAnsi="Arial" w:hint="eastAsia"/>
                <w:sz w:val="21"/>
              </w:rPr>
              <w:t>？</w:t>
            </w:r>
          </w:p>
          <w:p w:rsidR="00A115A1" w:rsidRPr="00471475" w:rsidRDefault="003E3F79" w:rsidP="003E3F79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3E3F79">
              <w:rPr>
                <w:rFonts w:ascii="Arial" w:eastAsia="华文细黑" w:hAnsi="Arial" w:hint="eastAsia"/>
                <w:b w:val="0"/>
                <w:sz w:val="21"/>
              </w:rPr>
              <w:t>本行贯彻“零售突破”的策略，继续深化综合金融优势，重点发力“基础零售、消费金融、私行财富”三大业务模块，提升“风险和成本控制”两大核心能力，充分发挥科技赋能作用，优化业务流程与服务体验，不断加强科技创新和场景应用，坚定推进智能化零售业务转型，打造“中国最卓越、全球领先的智能化零售银行”。</w:t>
            </w:r>
          </w:p>
          <w:p w:rsidR="00A115A1" w:rsidRDefault="00A115A1" w:rsidP="005E33CA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A115A1" w:rsidRDefault="003E3F79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零售业务的发展情况</w:t>
            </w:r>
            <w:r w:rsidR="00A115A1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B364F" w:rsidRDefault="00EB364F" w:rsidP="00EB364F">
            <w:pPr>
              <w:ind w:firstLineChars="250" w:firstLine="525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B364F">
              <w:rPr>
                <w:rFonts w:ascii="Arial" w:eastAsia="华文细黑" w:hAnsi="Arial" w:hint="eastAsia"/>
                <w:bCs/>
                <w:sz w:val="21"/>
                <w:szCs w:val="21"/>
              </w:rPr>
              <w:t>截至报告期末：</w:t>
            </w:r>
          </w:p>
          <w:p w:rsidR="00A115A1" w:rsidRDefault="003E3F79" w:rsidP="00EB364F">
            <w:pPr>
              <w:ind w:firstLineChars="250" w:firstLine="525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基础零售方面：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本行管理零售客户资产（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AUM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）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16,632.98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亿元、较上年末增长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17.4%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，零售客户数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8,701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万户、较上年末增长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3.7%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；</w:t>
            </w:r>
          </w:p>
          <w:p w:rsidR="003E3F79" w:rsidRDefault="00EB364F" w:rsidP="003E3F79">
            <w:pPr>
              <w:ind w:firstLineChars="250" w:firstLine="525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私行财富方面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: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本行财富客户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66.45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万户、较上年末增长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12.3%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；私行达标客户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3.5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万户、较上年末增长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16.7%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3E3F79" w:rsidRDefault="003E3F79" w:rsidP="003E3F79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/>
                <w:sz w:val="21"/>
                <w:szCs w:val="21"/>
              </w:rPr>
              <w:t>消费金融方面：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个人贷款余额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11,905.32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亿元、较上年末增长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3.2%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。其中，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信用卡贷款余额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4,923.07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4.0%</w:t>
            </w:r>
            <w:r>
              <w:rPr>
                <w:rFonts w:ascii="Arial" w:eastAsia="华文细黑" w:hAnsi="Arial"/>
                <w:bCs/>
                <w:sz w:val="21"/>
                <w:szCs w:val="21"/>
              </w:rPr>
              <w:t>；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“新一贷”余额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1,551.90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0.9%</w:t>
            </w:r>
            <w:r>
              <w:rPr>
                <w:rFonts w:ascii="Arial" w:eastAsia="华文细黑" w:hAnsi="Arial"/>
                <w:bCs/>
                <w:sz w:val="21"/>
                <w:szCs w:val="21"/>
              </w:rPr>
              <w:t>；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住房按揭贷款余额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1,861.37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2.1%</w:t>
            </w:r>
            <w:r>
              <w:rPr>
                <w:rFonts w:ascii="Arial" w:eastAsia="华文细黑" w:hAnsi="Arial"/>
                <w:bCs/>
                <w:sz w:val="21"/>
                <w:szCs w:val="21"/>
              </w:rPr>
              <w:t>；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汽车金融贷款余额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1,699.21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亿元，较上年末降幅</w:t>
            </w:r>
            <w:r w:rsidRPr="003E3F79">
              <w:rPr>
                <w:rFonts w:ascii="Arial" w:eastAsia="华文细黑" w:hAnsi="Arial"/>
                <w:bCs/>
                <w:sz w:val="21"/>
                <w:szCs w:val="21"/>
              </w:rPr>
              <w:t>1.2%</w:t>
            </w:r>
            <w:r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9E293D" w:rsidRPr="00CA0689" w:rsidRDefault="009E293D" w:rsidP="00A115A1">
            <w:pPr>
              <w:rPr>
                <w:rFonts w:ascii="Arial" w:eastAsia="华文细黑" w:hAnsi="Arial"/>
                <w:lang w:bidi="he-IL"/>
              </w:rPr>
            </w:pPr>
            <w:bookmarkStart w:id="0" w:name="_Toc464590920"/>
            <w:bookmarkStart w:id="1" w:name="_Toc464720594"/>
            <w:bookmarkStart w:id="2" w:name="_Toc464590889"/>
            <w:bookmarkStart w:id="3" w:name="_Toc464720557"/>
            <w:bookmarkStart w:id="4" w:name="_Toc448833286"/>
            <w:bookmarkStart w:id="5" w:name="_Toc458425958"/>
            <w:bookmarkStart w:id="6" w:name="_Toc464590895"/>
            <w:bookmarkStart w:id="7" w:name="_Toc464720571"/>
          </w:p>
          <w:p w:rsidR="00FD0E95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FD0E95" w:rsidRDefault="006350C6" w:rsidP="006350C6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一季度，综拓渠道迁徙客户（不含信用卡）净增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74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 w:rsidR="00227050"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2.76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 w:rsidR="00227050"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37.9%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AUM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841.31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 w:rsidR="00227050"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34.1%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。综拓渠道发放“新一贷”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152.36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 w:rsidR="00227050"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55.03%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121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37.0%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。信用卡通过交叉销售渠道发卡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112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33.7%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。零售全渠道代销集团保险累计实现非利息净收入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8.7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40.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bookmarkStart w:id="8" w:name="_Toc448833292"/>
          </w:p>
          <w:p w:rsidR="00105404" w:rsidRDefault="00105404" w:rsidP="006350C6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8439B9" w:rsidRDefault="008439B9" w:rsidP="0022705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本行信用卡业务继续保持稳健增长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8439B9" w:rsidRDefault="008439B9" w:rsidP="0022705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流通卡量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5,352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3.9%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22705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信用卡商城交易量同比增长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24.7%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22705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一季度总交易金额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8,010.30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，同比增长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43.2%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22705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贷款余额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4,923.07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4.0%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C87159" w:rsidRPr="00C87159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3E3F79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9" w:name="_Toc496018961"/>
            <w:r>
              <w:rPr>
                <w:rFonts w:ascii="Arial" w:eastAsia="华文细黑" w:hAnsi="Arial" w:hint="eastAsia"/>
                <w:sz w:val="21"/>
              </w:rPr>
              <w:t>零售业务风险控制情况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00681" w:rsidRPr="00A1521F" w:rsidRDefault="00EB364F" w:rsidP="003E3F7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截至报告期末，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本行个人贷款不良率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1.10%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，较上年末上升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0.03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个百分点。受到宏观经济下行、共债风险上升、汽车消费下滑等外部因素的影响，消费金融全行业的风险都有所上升，本行零售产品的不良率也略有上升，但整体风险表现仍维持在相对较低水平。本行自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2017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年底开始提前进行风险政策调整，重点防范共债风险，有效控制并降低了高风险客户占比，新发放业务的资产质量较好，预计这些管制措施的优化效应将会在</w:t>
            </w:r>
            <w:r w:rsidR="003E3F79" w:rsidRPr="003E3F79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="003E3F79" w:rsidRPr="003E3F79">
              <w:rPr>
                <w:rFonts w:ascii="Arial" w:eastAsia="华文细黑" w:hAnsi="Arial" w:hint="eastAsia"/>
                <w:bCs/>
                <w:sz w:val="21"/>
                <w:szCs w:val="21"/>
              </w:rPr>
              <w:t>年下半年逐渐展现，零售主要贷款的不良率下半年将呈现稳中向好的趋势。</w:t>
            </w:r>
          </w:p>
          <w:bookmarkEnd w:id="0"/>
          <w:bookmarkEnd w:id="1"/>
          <w:bookmarkEnd w:id="8"/>
          <w:bookmarkEnd w:id="9"/>
          <w:p w:rsidR="00AA5A95" w:rsidRPr="00CA0689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9E293D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拨备覆盖率</w:t>
            </w:r>
            <w:r w:rsidR="00A115A1"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21A8C" w:rsidRPr="00CA0689" w:rsidRDefault="00227050" w:rsidP="009E293D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截至</w:t>
            </w:r>
            <w:r w:rsidR="00EB364F">
              <w:rPr>
                <w:rFonts w:ascii="Arial" w:eastAsia="华文细黑" w:hAnsi="Arial" w:hint="eastAsia"/>
                <w:sz w:val="21"/>
                <w:szCs w:val="21"/>
              </w:rPr>
              <w:t>报告期末</w:t>
            </w:r>
            <w:r w:rsidR="00A115A1" w:rsidRPr="009E293D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本行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拨贷比为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2.94%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0.23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个百分点；拨备覆盖率为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170.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59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%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15.3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5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个百分点，逾期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90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177.7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%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18.2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</w:t>
            </w:r>
            <w:r w:rsidR="00A115A1">
              <w:rPr>
                <w:rFonts w:ascii="Arial" w:eastAsia="华文细黑" w:hAnsi="Arial" w:hint="eastAsia"/>
                <w:sz w:val="21"/>
                <w:szCs w:val="21"/>
              </w:rPr>
              <w:t>未来将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继续</w:t>
            </w:r>
            <w:r w:rsidR="00A115A1">
              <w:rPr>
                <w:rFonts w:ascii="Arial" w:eastAsia="华文细黑" w:hAnsi="Arial" w:hint="eastAsia"/>
                <w:sz w:val="21"/>
                <w:szCs w:val="21"/>
              </w:rPr>
              <w:t>通过各种措施不断提升拨备增强风险抵御能力</w:t>
            </w:r>
            <w:r w:rsidR="00A115A1"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E00681" w:rsidRDefault="00E00681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C87159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理财子公司进展？</w:t>
            </w:r>
          </w:p>
          <w:p w:rsidR="00C87159" w:rsidRPr="00A115A1" w:rsidRDefault="00A115A1" w:rsidP="00A115A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bookmarkEnd w:id="2"/>
          <w:bookmarkEnd w:id="3"/>
          <w:bookmarkEnd w:id="4"/>
          <w:bookmarkEnd w:id="5"/>
          <w:bookmarkEnd w:id="6"/>
          <w:bookmarkEnd w:id="7"/>
          <w:p w:rsidR="008B3EDE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投行业务</w:t>
            </w:r>
            <w:r>
              <w:rPr>
                <w:rFonts w:ascii="Arial" w:eastAsia="华文细黑" w:hAnsi="Arial" w:hint="eastAsia"/>
                <w:sz w:val="21"/>
              </w:rPr>
              <w:t>未来</w:t>
            </w:r>
            <w:r w:rsidRPr="009E293D">
              <w:rPr>
                <w:rFonts w:ascii="Arial" w:eastAsia="华文细黑" w:hAnsi="Arial" w:hint="eastAsia"/>
                <w:sz w:val="21"/>
              </w:rPr>
              <w:t>发展情况？</w:t>
            </w:r>
          </w:p>
          <w:p w:rsidR="00A115A1" w:rsidRDefault="00A1521F" w:rsidP="00A1521F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本行积极推动真投行转型和轻型融资能力建设，发力债券承销、理财直融工具等领域，满足客户融资需求。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年一季度，经银保监会注册发行的理财直融产品承销规模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197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亿元，市场发行份额排名位居前列。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442349" w:rsidRPr="00CA0689" w:rsidRDefault="00442349" w:rsidP="00442349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 w:rsidRPr="009E293D">
              <w:rPr>
                <w:rFonts w:ascii="Arial" w:eastAsia="华文细黑" w:hAnsi="Arial" w:hint="eastAsia"/>
                <w:lang w:eastAsia="zh-TW"/>
              </w:rPr>
              <w:t>科技的投入和成果如何</w:t>
            </w:r>
            <w:r>
              <w:rPr>
                <w:rFonts w:ascii="Arial" w:eastAsia="华文细黑" w:hAnsi="Arial" w:hint="eastAsia"/>
                <w:lang w:eastAsia="zh-TW"/>
              </w:rPr>
              <w:t>？</w:t>
            </w:r>
          </w:p>
          <w:p w:rsidR="00442349" w:rsidRDefault="00442349" w:rsidP="00442349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本行将“科技引领”作为全行首要发展战略方针。科技投入方面，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年，本行科技投入大幅增加，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资本性支出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25.75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亿元、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82%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442349" w:rsidRDefault="00442349" w:rsidP="00442349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科技治理方面，本行制定了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三年（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2019-2021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）发展规划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442349" w:rsidRDefault="00442349" w:rsidP="00442349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创新方面，依托平安集团在人工智能、区块链、云计算等领域的核心技术和资源，利用新技术赋能业务，持续提升客户体验、丰富金融产品、创新业务模式、完善风控体系、优化运营效率、促进智慧管理。“科技引领”推动战略转型已初见成效。</w:t>
            </w:r>
          </w:p>
          <w:p w:rsidR="00442349" w:rsidRDefault="00442349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F50B59" w:rsidRPr="00226184" w:rsidRDefault="00F50B59" w:rsidP="00F50B59">
            <w:pPr>
              <w:pStyle w:val="3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转股期及强制赎回条款是什么？</w:t>
            </w:r>
          </w:p>
          <w:p w:rsidR="00F50B59" w:rsidRPr="00226184" w:rsidRDefault="00F50B59" w:rsidP="00F50B59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我行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日进入转股期，转股价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11.63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元，强制赎回价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元。</w:t>
            </w:r>
          </w:p>
          <w:p w:rsidR="00F50B59" w:rsidRPr="00226184" w:rsidRDefault="00F50B59" w:rsidP="00F50B59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进入转股期以后，如果平安银行股价连续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30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个交易日中有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个交易日的收盘价高于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元，则可以通过强制赎回集中进行转股（对于未转股的投资者，我行将有权按照债券面值加当期应计利息的价格，强制赎回可转债）。</w:t>
            </w:r>
          </w:p>
          <w:p w:rsidR="005E33CA" w:rsidRPr="00F50B59" w:rsidRDefault="005E33CA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A115A1" w:rsidRDefault="00A1521F" w:rsidP="00A1521F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，本行核心一级资本充足率、一级资本充足率及资本充足率分别为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8.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77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9.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61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11.5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bookmarkStart w:id="10" w:name="_GoBack"/>
            <w:bookmarkEnd w:id="10"/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一季度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3E3F79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E3F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E3F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94" w:rsidRDefault="009C4894" w:rsidP="00D96584">
      <w:r>
        <w:separator/>
      </w:r>
    </w:p>
  </w:endnote>
  <w:endnote w:type="continuationSeparator" w:id="0">
    <w:p w:rsidR="009C4894" w:rsidRDefault="009C4894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94" w:rsidRDefault="009C4894" w:rsidP="00D96584">
      <w:r>
        <w:separator/>
      </w:r>
    </w:p>
  </w:footnote>
  <w:footnote w:type="continuationSeparator" w:id="0">
    <w:p w:rsidR="009C4894" w:rsidRDefault="009C4894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32489"/>
    <w:multiLevelType w:val="multilevel"/>
    <w:tmpl w:val="74732489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4"/>
        <w:szCs w:val="28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6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8">
    <w:nsid w:val="7ABD6AEE"/>
    <w:multiLevelType w:val="hybridMultilevel"/>
    <w:tmpl w:val="EBEE8B2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9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5"/>
  </w:num>
  <w:num w:numId="25">
    <w:abstractNumId w:val="27"/>
  </w:num>
  <w:num w:numId="26">
    <w:abstractNumId w:val="13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3D6A"/>
    <w:rsid w:val="000A2DF8"/>
    <w:rsid w:val="000B3693"/>
    <w:rsid w:val="000B41B6"/>
    <w:rsid w:val="00101C48"/>
    <w:rsid w:val="00105404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27050"/>
    <w:rsid w:val="002515C0"/>
    <w:rsid w:val="002721F3"/>
    <w:rsid w:val="002B200E"/>
    <w:rsid w:val="002B4EAA"/>
    <w:rsid w:val="002B5D00"/>
    <w:rsid w:val="003317E5"/>
    <w:rsid w:val="00354883"/>
    <w:rsid w:val="00375010"/>
    <w:rsid w:val="003777D5"/>
    <w:rsid w:val="003B107D"/>
    <w:rsid w:val="003B721F"/>
    <w:rsid w:val="003C375D"/>
    <w:rsid w:val="003C42A4"/>
    <w:rsid w:val="003E3F79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5E254B"/>
    <w:rsid w:val="005E33CA"/>
    <w:rsid w:val="00622C3A"/>
    <w:rsid w:val="00623A26"/>
    <w:rsid w:val="0063326E"/>
    <w:rsid w:val="006350C6"/>
    <w:rsid w:val="00684A13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4894"/>
    <w:rsid w:val="009C5679"/>
    <w:rsid w:val="009E293D"/>
    <w:rsid w:val="009F13CD"/>
    <w:rsid w:val="00A06B39"/>
    <w:rsid w:val="00A115A1"/>
    <w:rsid w:val="00A140B8"/>
    <w:rsid w:val="00A1521F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50C4A"/>
    <w:rsid w:val="00E733AB"/>
    <w:rsid w:val="00EB364F"/>
    <w:rsid w:val="00EE1C10"/>
    <w:rsid w:val="00EE4F68"/>
    <w:rsid w:val="00EE7C01"/>
    <w:rsid w:val="00F16F75"/>
    <w:rsid w:val="00F50B59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394</Words>
  <Characters>2248</Characters>
  <Application>Microsoft Office Word</Application>
  <DocSecurity>0</DocSecurity>
  <Lines>18</Lines>
  <Paragraphs>5</Paragraphs>
  <ScaleCrop>false</ScaleCrop>
  <Company>sdb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4</cp:revision>
  <dcterms:created xsi:type="dcterms:W3CDTF">2019-10-14T03:32:00Z</dcterms:created>
  <dcterms:modified xsi:type="dcterms:W3CDTF">2019-10-17T10:06:00Z</dcterms:modified>
</cp:coreProperties>
</file>