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1CC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631CC9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F7360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2019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年中报后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国内路演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631CC9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47147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2 - 16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1CC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北京、上海、广州、深圳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1CC9" w:rsidP="00A1521F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谢永林</w:t>
            </w:r>
            <w:r w:rsidR="0047147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胡跃飞、张小璐、蔡新发、郭世邦、项有志、周强、王伟</w:t>
            </w:r>
            <w:r w:rsidR="00AB6F84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等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4F7360" w:rsidRPr="00CA0689" w:rsidRDefault="004F736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631CC9" w:rsidRPr="00471475" w:rsidRDefault="00631CC9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平安银行的战略方向</w:t>
            </w:r>
            <w:r w:rsidRPr="00471475">
              <w:rPr>
                <w:rFonts w:ascii="Arial" w:eastAsia="华文细黑" w:hAnsi="Arial" w:hint="eastAsia"/>
                <w:sz w:val="21"/>
              </w:rPr>
              <w:t>？</w:t>
            </w:r>
          </w:p>
          <w:p w:rsidR="00631CC9" w:rsidRPr="00631CC9" w:rsidRDefault="00631CC9" w:rsidP="004F7360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631CC9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年上半年，面对复杂多变的经济金融形势，本行紧跟党和国家的各项重大战略，坚持以打造“中国最卓越、全球领先的智能化零售银行”为战略目标，持续深化“科技引领、零售突破、对公做精”的十二字策略方针，分别构建零售和对公业务的“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3+2</w:t>
            </w:r>
            <w:r w:rsidRPr="00631CC9">
              <w:rPr>
                <w:rFonts w:ascii="Arial" w:eastAsia="华文细黑" w:hAnsi="Arial"/>
                <w:b w:val="0"/>
                <w:sz w:val="21"/>
              </w:rPr>
              <w:t>+1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”经营策略，全面推进</w:t>
            </w:r>
            <w:r w:rsidRPr="00631CC9">
              <w:rPr>
                <w:rFonts w:ascii="Arial" w:eastAsia="华文细黑" w:hAnsi="Arial"/>
                <w:b w:val="0"/>
                <w:sz w:val="21"/>
              </w:rPr>
              <w:t>AI Bank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体系建设，全面强化金融风险防控，持续加大民营企业、小微企业支持力度，持续提升服务实体经济能力，大力推进金融扶贫，各项业务发展稳健，资产质量持续改善，战略转型取得明显成效。</w:t>
            </w:r>
          </w:p>
          <w:p w:rsidR="00631CC9" w:rsidRDefault="00631CC9" w:rsidP="004F7360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4F7360" w:rsidRPr="004F7360" w:rsidRDefault="004F7360" w:rsidP="003801A7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4F7360">
              <w:rPr>
                <w:rFonts w:ascii="Arial" w:eastAsia="华文细黑" w:hAnsi="Arial" w:hint="eastAsia"/>
                <w:sz w:val="21"/>
              </w:rPr>
              <w:t>零售转型做的挺好，为什么现在又开始做对公了？</w:t>
            </w:r>
          </w:p>
          <w:p w:rsidR="004F7360" w:rsidRPr="004F7360" w:rsidRDefault="00453F37" w:rsidP="004F7360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过去三年，</w:t>
            </w:r>
            <w:r w:rsidR="004F7360" w:rsidRPr="004F7360">
              <w:rPr>
                <w:rFonts w:ascii="Arial" w:eastAsia="华文细黑" w:hAnsi="Arial" w:hint="eastAsia"/>
                <w:b w:val="0"/>
                <w:sz w:val="21"/>
              </w:rPr>
              <w:t>加大力度通过各种渠道做综合金融，快速迁徙集团客户。过去三年看到的更多的是零售方面的综合金融成效和业务增长，零售占比提升至六成。未来对公和零售需要协同发展，加大集团对公资源的撬动，更有利于未来零售</w:t>
            </w:r>
            <w:r w:rsidR="004F7360" w:rsidRPr="004F7360">
              <w:rPr>
                <w:rFonts w:ascii="Arial" w:eastAsia="华文细黑" w:hAnsi="Arial" w:hint="eastAsia"/>
                <w:b w:val="0"/>
                <w:sz w:val="21"/>
              </w:rPr>
              <w:t>2.0</w:t>
            </w:r>
            <w:r w:rsidR="004F7360" w:rsidRPr="004F7360">
              <w:rPr>
                <w:rFonts w:ascii="Arial" w:eastAsia="华文细黑" w:hAnsi="Arial" w:hint="eastAsia"/>
                <w:b w:val="0"/>
                <w:sz w:val="21"/>
              </w:rPr>
              <w:t>转型的目标。</w:t>
            </w:r>
          </w:p>
          <w:p w:rsidR="004F7360" w:rsidRDefault="00453F37" w:rsidP="004F7360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接下来，</w:t>
            </w:r>
            <w:r w:rsidR="004F7360">
              <w:rPr>
                <w:rFonts w:ascii="Arial" w:eastAsia="华文细黑" w:hAnsi="Arial" w:hint="eastAsia"/>
                <w:b w:val="0"/>
                <w:sz w:val="21"/>
              </w:rPr>
              <w:t>银行战略没有改变</w:t>
            </w:r>
            <w:r w:rsidR="004F7360" w:rsidRPr="004F7360">
              <w:rPr>
                <w:rFonts w:ascii="Arial" w:eastAsia="华文细黑" w:hAnsi="Arial" w:hint="eastAsia"/>
                <w:b w:val="0"/>
                <w:sz w:val="21"/>
              </w:rPr>
              <w:t>。未来愿景还是全球领先、中国卓越的智能零售银行。对公过去是压降，现在恢复正常状态，将在负债、代发等业务帮助零售，未来零售私行靠对公获取优质资产，有利于零售私行财务管理业务的长期发展和提升差异化竞争优势。</w:t>
            </w:r>
          </w:p>
          <w:p w:rsidR="004F7360" w:rsidRDefault="004F7360" w:rsidP="004F7360">
            <w:pPr>
              <w:adjustRightInd w:val="0"/>
              <w:snapToGrid w:val="0"/>
              <w:rPr>
                <w:lang w:bidi="he-IL"/>
              </w:rPr>
            </w:pPr>
          </w:p>
          <w:p w:rsidR="000A151D" w:rsidRPr="00471475" w:rsidRDefault="000A151D" w:rsidP="000A151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平安银行整体经营情况</w:t>
            </w:r>
            <w:r w:rsidRPr="00471475">
              <w:rPr>
                <w:rFonts w:ascii="Arial" w:eastAsia="华文细黑" w:hAnsi="Arial" w:hint="eastAsia"/>
                <w:sz w:val="21"/>
              </w:rPr>
              <w:t>？</w:t>
            </w:r>
          </w:p>
          <w:p w:rsidR="000A151D" w:rsidRPr="00631CC9" w:rsidRDefault="000A151D" w:rsidP="000A151D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DD684A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年上半年，本行实现营业收入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678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8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5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；其中，利息净收入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436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39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16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6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；非利息净收入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241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90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2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。减值损失前营业利润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472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41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19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0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；净利润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154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03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15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2019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年上半年净利差、净息差分别为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2.54%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、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2.62%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，同比分别提升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48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个基点、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36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个基点；非利息净收入占比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3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5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7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，同比上升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个百分点，盈利能力保持稳定。</w:t>
            </w:r>
          </w:p>
          <w:p w:rsidR="000A151D" w:rsidRDefault="000A151D" w:rsidP="004F7360">
            <w:pPr>
              <w:adjustRightInd w:val="0"/>
              <w:snapToGrid w:val="0"/>
              <w:rPr>
                <w:lang w:bidi="he-IL"/>
              </w:rPr>
            </w:pPr>
          </w:p>
          <w:p w:rsidR="004F7360" w:rsidRPr="00CA0689" w:rsidRDefault="004F7360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存款情况及趋势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4F7360" w:rsidRPr="00631CC9" w:rsidRDefault="004F7360" w:rsidP="004F7360">
            <w:pPr>
              <w:adjustRightInd w:val="0"/>
              <w:snapToGrid w:val="0"/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月末，本行吸收存款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23,431.79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亿元，较上年末增加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2,146.22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亿元，增长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10.1%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。存款增长整体保持平稳。</w:t>
            </w:r>
          </w:p>
          <w:p w:rsidR="004F7360" w:rsidRPr="00631CC9" w:rsidRDefault="004F7360" w:rsidP="004F7360">
            <w:pPr>
              <w:adjustRightInd w:val="0"/>
              <w:snapToGrid w:val="0"/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个人存款余额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5,407.79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17.2%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。未来通过线上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线下良好的服务和产品吸引客户在本行的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AUM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做大，自然派生存款；同时做好收单商户的综合经营，通过财富管理、融资服务等，综合提升商户存款贡献度。</w:t>
            </w:r>
          </w:p>
          <w:p w:rsidR="004F7360" w:rsidRPr="00631CC9" w:rsidRDefault="004F7360" w:rsidP="004F7360">
            <w:pPr>
              <w:adjustRightInd w:val="0"/>
              <w:snapToGrid w:val="0"/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企业存款余额为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18,024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8.1%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。对公业务将通过生态圈经营和交易银行业务，推动存款结构持续优化：</w:t>
            </w:r>
          </w:p>
          <w:p w:rsidR="004F7360" w:rsidRPr="00631CC9" w:rsidRDefault="004F7360" w:rsidP="004F7360">
            <w:pPr>
              <w:adjustRightInd w:val="0"/>
              <w:snapToGrid w:val="0"/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）智能供应链金融；</w:t>
            </w:r>
          </w:p>
          <w:p w:rsidR="004F7360" w:rsidRPr="00631CC9" w:rsidRDefault="004F7360" w:rsidP="004F7360">
            <w:pPr>
              <w:adjustRightInd w:val="0"/>
              <w:snapToGrid w:val="0"/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）政府金融；</w:t>
            </w:r>
          </w:p>
          <w:p w:rsidR="004F7360" w:rsidRPr="00631CC9" w:rsidRDefault="004F7360" w:rsidP="004F7360">
            <w:pPr>
              <w:adjustRightInd w:val="0"/>
              <w:snapToGrid w:val="0"/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）互联网金融；</w:t>
            </w:r>
          </w:p>
          <w:p w:rsidR="004F7360" w:rsidRDefault="004F7360" w:rsidP="004F7360">
            <w:pPr>
              <w:adjustRightInd w:val="0"/>
              <w:snapToGrid w:val="0"/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4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）加强营销推广单位大额存单。</w:t>
            </w:r>
          </w:p>
          <w:p w:rsidR="004F7360" w:rsidRDefault="004F7360" w:rsidP="004F7360">
            <w:pPr>
              <w:adjustRightInd w:val="0"/>
              <w:snapToGrid w:val="0"/>
              <w:rPr>
                <w:lang w:bidi="he-IL"/>
              </w:rPr>
            </w:pPr>
          </w:p>
          <w:p w:rsidR="00453F37" w:rsidRDefault="00453F37" w:rsidP="00453F37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过去几年零售贷款增长挺好的，但今年来贷款增速下降</w:t>
            </w:r>
            <w:r w:rsidRPr="00453F37">
              <w:rPr>
                <w:rFonts w:ascii="Arial" w:eastAsia="华文细黑" w:hAnsi="Arial" w:hint="eastAsia"/>
                <w:sz w:val="21"/>
              </w:rPr>
              <w:t>？下半年如何应对？</w:t>
            </w:r>
          </w:p>
          <w:p w:rsidR="00453F37" w:rsidRPr="00453F37" w:rsidRDefault="00453F37" w:rsidP="00453F37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）动手早：对外部形式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比较敏感，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尤其是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共债风险上升，监管加强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P2P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管控等，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我行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17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年底和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18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年初就开始提升准入标准，加强主动管控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；</w:t>
            </w:r>
          </w:p>
          <w:p w:rsidR="00453F37" w:rsidRPr="00453F37" w:rsidRDefault="00453F37" w:rsidP="00453F37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2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）动手狠：大大提高准入门槛，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贷款审批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通过率下降了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48%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。；</w:t>
            </w:r>
          </w:p>
          <w:p w:rsidR="00453F37" w:rsidRPr="00453F37" w:rsidRDefault="00453F37" w:rsidP="00453F37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3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）流程优化：不断优化审批流程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，有利于加大销售效率；</w:t>
            </w:r>
          </w:p>
          <w:p w:rsidR="00453F37" w:rsidRPr="00453F37" w:rsidRDefault="00453F37" w:rsidP="00453F37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4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）有选择的做：加大优质客户的投放，例如集团渠道客户，质量优。</w:t>
            </w:r>
          </w:p>
          <w:p w:rsidR="00453F37" w:rsidRPr="00453F37" w:rsidRDefault="00453F37" w:rsidP="00E459CC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下半年</w:t>
            </w:r>
            <w:r w:rsidR="00E459CC">
              <w:rPr>
                <w:rFonts w:ascii="Arial" w:eastAsia="华文细黑" w:hAnsi="Arial" w:hint="eastAsia"/>
                <w:b w:val="0"/>
                <w:sz w:val="21"/>
              </w:rPr>
              <w:t>将</w:t>
            </w:r>
            <w:r w:rsidR="00AB6F84">
              <w:rPr>
                <w:rFonts w:ascii="Arial" w:eastAsia="华文细黑" w:hAnsi="Arial" w:hint="eastAsia"/>
                <w:b w:val="0"/>
                <w:sz w:val="21"/>
              </w:rPr>
              <w:t>加大优质客户的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渠道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，改变客户的结构；流程不断优化：产品流程和客户体验做的更好，吸引更多优质客户；扩大产品面：加强第三方平台合作，做开放银行输出我们的能力，增加覆盖面。</w:t>
            </w:r>
          </w:p>
          <w:p w:rsidR="00E459CC" w:rsidRDefault="00E459CC" w:rsidP="004F7360">
            <w:pPr>
              <w:adjustRightInd w:val="0"/>
              <w:snapToGrid w:val="0"/>
              <w:rPr>
                <w:lang w:bidi="he-IL"/>
              </w:rPr>
            </w:pPr>
          </w:p>
          <w:p w:rsidR="00E459CC" w:rsidRPr="00E459CC" w:rsidRDefault="00E459CC" w:rsidP="003801A7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459CC">
              <w:rPr>
                <w:rFonts w:ascii="Arial" w:eastAsia="华文细黑" w:hAnsi="Arial" w:hint="eastAsia"/>
                <w:sz w:val="21"/>
              </w:rPr>
              <w:t>存款结构变化情况分析</w:t>
            </w:r>
          </w:p>
          <w:p w:rsidR="00E459CC" w:rsidRPr="00E459CC" w:rsidRDefault="00E459CC" w:rsidP="00E459CC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截至报告期末，我行一般存款余额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23,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432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亿元，较年初增加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2,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146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亿元，增幅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10%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。其中：零售存款余额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5,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408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亿元，比年初增加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792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亿元，增幅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17%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；公司存款余额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18,024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亿元，比年初增加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354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亿元，增幅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8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，上半年存款增长势头良好。</w:t>
            </w:r>
          </w:p>
          <w:p w:rsidR="00E459CC" w:rsidRPr="004F7360" w:rsidRDefault="00E459CC" w:rsidP="00E459CC">
            <w:pPr>
              <w:adjustRightInd w:val="0"/>
              <w:snapToGrid w:val="0"/>
              <w:rPr>
                <w:lang w:bidi="he-IL"/>
              </w:rPr>
            </w:pPr>
          </w:p>
          <w:p w:rsidR="00471475" w:rsidRPr="00471475" w:rsidRDefault="00471475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471475">
              <w:rPr>
                <w:rFonts w:ascii="Arial" w:eastAsia="华文细黑" w:hAnsi="Arial" w:hint="eastAsia"/>
                <w:sz w:val="21"/>
              </w:rPr>
              <w:t>净息差的趋势分析？</w:t>
            </w:r>
          </w:p>
          <w:p w:rsidR="00631CC9" w:rsidRPr="00631CC9" w:rsidRDefault="00631CC9" w:rsidP="004F7360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631CC9">
              <w:rPr>
                <w:rFonts w:ascii="Arial" w:eastAsia="华文细黑" w:hAnsi="Arial" w:hint="eastAsia"/>
                <w:b w:val="0"/>
                <w:sz w:val="21"/>
              </w:rPr>
              <w:t>2019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年上半年本行净息差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2.62%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，同比提升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36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个基点。截止上半年市场资金面整体宽松，市场利率全线走低引导本行付息负债成本率下降。同时，受高收益资产结构持续优化，本行资金运用效益提升。</w:t>
            </w:r>
          </w:p>
          <w:p w:rsidR="00631CC9" w:rsidRPr="00631CC9" w:rsidRDefault="00631CC9" w:rsidP="004F7360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631CC9">
              <w:rPr>
                <w:rFonts w:ascii="Arial" w:eastAsia="华文细黑" w:hAnsi="Arial" w:hint="eastAsia"/>
                <w:b w:val="0"/>
                <w:sz w:val="21"/>
              </w:rPr>
              <w:t>今年以来本行净息差稳步提升。一是主动优化资产结构，强化高成本负债管控。二是积极运用内部定价管理工具，加快市场利率走势传导，促进资产负债结构优化。三是强化宏观市场研判，实施动态的资产负债组合管理策略，把握市场机会，主动调节资产负债结构，积极应对市场变化，强化资产负债管理的前瞻性、主动性、灵活性。随着资产结构不断优化，负债成本持续改善，本行净息差预计将维持在合理水平。</w:t>
            </w:r>
          </w:p>
          <w:p w:rsidR="00C87159" w:rsidRDefault="00C87159" w:rsidP="004F7360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  <w:bookmarkStart w:id="0" w:name="_Toc464590920"/>
            <w:bookmarkStart w:id="1" w:name="_Toc464720594"/>
            <w:bookmarkStart w:id="2" w:name="_Toc448833292"/>
            <w:bookmarkStart w:id="3" w:name="_Toc464590889"/>
            <w:bookmarkStart w:id="4" w:name="_Toc464720557"/>
            <w:bookmarkStart w:id="5" w:name="_Toc448833286"/>
            <w:bookmarkStart w:id="6" w:name="_Toc458425958"/>
            <w:bookmarkStart w:id="7" w:name="_Toc464590895"/>
            <w:bookmarkStart w:id="8" w:name="_Toc464720571"/>
          </w:p>
          <w:p w:rsidR="00226184" w:rsidRPr="00226184" w:rsidRDefault="00226184" w:rsidP="00226184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226184">
              <w:rPr>
                <w:rFonts w:ascii="Arial" w:eastAsia="华文细黑" w:hAnsi="Arial" w:hint="eastAsia"/>
                <w:sz w:val="21"/>
              </w:rPr>
              <w:t>平安银行</w:t>
            </w:r>
            <w:r w:rsidRPr="00226184">
              <w:rPr>
                <w:rFonts w:ascii="Arial" w:eastAsia="华文细黑" w:hAnsi="Arial"/>
                <w:sz w:val="21"/>
              </w:rPr>
              <w:t>2019</w:t>
            </w:r>
            <w:r w:rsidRPr="00226184">
              <w:rPr>
                <w:rFonts w:ascii="Arial" w:eastAsia="华文细黑" w:hAnsi="Arial" w:hint="eastAsia"/>
                <w:sz w:val="21"/>
              </w:rPr>
              <w:t>年</w:t>
            </w:r>
            <w:r w:rsidRPr="00226184">
              <w:rPr>
                <w:rFonts w:ascii="Arial" w:eastAsia="华文细黑" w:hAnsi="Arial"/>
                <w:sz w:val="21"/>
              </w:rPr>
              <w:t>ROA</w:t>
            </w:r>
            <w:r w:rsidRPr="00226184">
              <w:rPr>
                <w:rFonts w:ascii="Arial" w:eastAsia="华文细黑" w:hAnsi="Arial" w:hint="eastAsia"/>
                <w:sz w:val="21"/>
              </w:rPr>
              <w:t>和</w:t>
            </w:r>
            <w:r w:rsidRPr="00226184">
              <w:rPr>
                <w:rFonts w:ascii="Arial" w:eastAsia="华文细黑" w:hAnsi="Arial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sz w:val="21"/>
              </w:rPr>
              <w:t>目标？具体提升举措是什么？</w:t>
            </w:r>
            <w:r w:rsidRPr="00226184">
              <w:rPr>
                <w:rFonts w:ascii="Arial" w:eastAsia="华文细黑" w:hAnsi="Arial"/>
                <w:sz w:val="21"/>
              </w:rPr>
              <w:t xml:space="preserve"> </w:t>
            </w:r>
          </w:p>
          <w:p w:rsidR="00226184" w:rsidRPr="00226184" w:rsidRDefault="00226184" w:rsidP="00226184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226184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年上半年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ROE 12.63%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，同比增加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0.27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个百分点。我们需要在利润增长和风险抵御能力上寻求合理平衡，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未来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有望保持持续上升。</w:t>
            </w:r>
          </w:p>
          <w:p w:rsidR="00114330" w:rsidRPr="008A2F26" w:rsidRDefault="00114330" w:rsidP="004F7360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A115A1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9" w:name="_Toc496018961"/>
            <w:r>
              <w:rPr>
                <w:rFonts w:ascii="Arial" w:eastAsia="华文细黑" w:hAnsi="Arial" w:hint="eastAsia"/>
                <w:sz w:val="21"/>
              </w:rPr>
              <w:t>资产质量情况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631CC9" w:rsidRDefault="00631CC9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本行坚持资产质量为第一生命线理念，积极采取各种措施提升风险防控能力，同时借助大数据、人工智能等技术，提升智能风控水平，确保全行资产质量保持稳中向好。</w:t>
            </w:r>
          </w:p>
          <w:p w:rsidR="00E00681" w:rsidRPr="00A1521F" w:rsidRDefault="00631CC9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月末，本行主要资产质量指标进一步改善。逾期贷款余额占比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2.34%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，较上年末下降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0.14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个百分点；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关注类贷款占比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2.48%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，较上年末下降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0.25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个百分点；不良贷款偏离度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94%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，降幅显著</w:t>
            </w:r>
            <w:r w:rsidR="00A1521F"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bookmarkEnd w:id="0"/>
          <w:bookmarkEnd w:id="1"/>
          <w:bookmarkEnd w:id="2"/>
          <w:bookmarkEnd w:id="9"/>
          <w:p w:rsidR="00AA5A95" w:rsidRPr="00CA0689" w:rsidRDefault="00AA5A95" w:rsidP="004F7360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C21A8C" w:rsidRPr="00CA0689" w:rsidRDefault="009E293D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拨备</w:t>
            </w:r>
            <w:r w:rsidR="00631CC9">
              <w:rPr>
                <w:rFonts w:ascii="Arial" w:eastAsia="华文细黑" w:hAnsi="Arial" w:hint="eastAsia"/>
                <w:sz w:val="21"/>
              </w:rPr>
              <w:t>计提及</w:t>
            </w:r>
            <w:r w:rsidRPr="009E293D">
              <w:rPr>
                <w:rFonts w:ascii="Arial" w:eastAsia="华文细黑" w:hAnsi="Arial" w:hint="eastAsia"/>
                <w:sz w:val="21"/>
              </w:rPr>
              <w:t>覆盖率</w:t>
            </w:r>
            <w:r w:rsidR="00A115A1">
              <w:rPr>
                <w:rFonts w:ascii="Arial" w:eastAsia="华文细黑" w:hAnsi="Arial" w:hint="eastAsia"/>
                <w:sz w:val="21"/>
              </w:rPr>
              <w:t>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631CC9" w:rsidRDefault="00631CC9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月末，全行拨备覆盖率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182.53%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27.29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个百分点，拨贷比为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3.06%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0.35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个百分点；逾期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90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天以上贷款拨备覆盖率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194.37%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34.92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个百分点，风险抵补能力进一步增强。</w:t>
            </w:r>
          </w:p>
          <w:p w:rsidR="00C21A8C" w:rsidRPr="00CA0689" w:rsidRDefault="00631CC9" w:rsidP="004F7360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本行持续加大拨备计提和核销力度，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2016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至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月末，本行累计计提信用及其他资产减值损失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1,645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亿元，其中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年上半年新增计提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272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亿元，同比增加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49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亿元；累计核销贷款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1,363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亿元，其中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年上半年核销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213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亿元，同比增加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亿元。</w:t>
            </w:r>
          </w:p>
          <w:p w:rsidR="00E459CC" w:rsidRDefault="00E459CC" w:rsidP="008A2F26">
            <w:pPr>
              <w:adjustRightInd w:val="0"/>
              <w:snapToGrid w:val="0"/>
            </w:pPr>
            <w:bookmarkStart w:id="10" w:name="_GoBack"/>
            <w:bookmarkEnd w:id="10"/>
          </w:p>
          <w:p w:rsidR="00BB34AF" w:rsidRPr="00CA0689" w:rsidRDefault="00BB34AF" w:rsidP="00BB34AF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对公业务新策略的具体情况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BB34AF" w:rsidRDefault="00BB34AF" w:rsidP="00BB34AF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074B2A">
              <w:rPr>
                <w:rFonts w:ascii="Arial" w:eastAsia="华文细黑" w:hAnsi="Arial"/>
                <w:sz w:val="21"/>
                <w:szCs w:val="21"/>
              </w:rPr>
              <w:t>对公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业务坚持以客户为中心，以科技为驱动，构建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对公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业务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“3+2+1”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经营策略。做强行业银行、交易银行与综合金融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“3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大支柱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，聚焦战略客群与小微客群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“2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大客群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，坚守资产质量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“1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条生命线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，做强对公生态，丰富业务场景，提供综合金融解决方案，为零售输送更多优质资产。</w:t>
            </w:r>
          </w:p>
          <w:p w:rsidR="00BB34AF" w:rsidRPr="00074B2A" w:rsidRDefault="00BB34AF" w:rsidP="00BB34AF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074B2A">
              <w:rPr>
                <w:rFonts w:ascii="Arial" w:eastAsia="华文细黑" w:hAnsi="Arial"/>
                <w:bCs/>
                <w:szCs w:val="21"/>
              </w:rPr>
              <w:t>2019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年上半年，本行对公</w:t>
            </w:r>
            <w:r w:rsidRPr="00074B2A">
              <w:rPr>
                <w:rFonts w:ascii="Arial" w:eastAsia="华文细黑" w:hAnsi="Arial"/>
                <w:bCs/>
                <w:szCs w:val="21"/>
              </w:rPr>
              <w:t>业务坚持以客户为中心，做强对公生态，企业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存款稳固提升。</w:t>
            </w:r>
            <w:r w:rsidRPr="00074B2A">
              <w:rPr>
                <w:rFonts w:ascii="Arial" w:eastAsia="华文细黑" w:hAnsi="Arial"/>
                <w:bCs/>
                <w:szCs w:val="21"/>
              </w:rPr>
              <w:t>2019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年</w:t>
            </w:r>
            <w:r w:rsidRPr="00074B2A">
              <w:rPr>
                <w:rFonts w:ascii="Arial" w:eastAsia="华文细黑" w:hAnsi="Arial"/>
                <w:bCs/>
                <w:szCs w:val="21"/>
              </w:rPr>
              <w:t>6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月末，企业存款余额为</w:t>
            </w:r>
            <w:r w:rsidRPr="00074B2A">
              <w:rPr>
                <w:rFonts w:ascii="Arial" w:eastAsia="华文细黑" w:hAnsi="Arial"/>
                <w:bCs/>
                <w:szCs w:val="21"/>
              </w:rPr>
              <w:t>18,024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亿元，较上年末增长</w:t>
            </w:r>
            <w:r w:rsidRPr="00074B2A">
              <w:rPr>
                <w:rFonts w:ascii="Arial" w:eastAsia="华文细黑" w:hAnsi="Arial"/>
                <w:bCs/>
                <w:szCs w:val="21"/>
              </w:rPr>
              <w:t>8.1%</w:t>
            </w:r>
            <w:r w:rsidRPr="00074B2A">
              <w:rPr>
                <w:rFonts w:ascii="Arial" w:eastAsia="华文细黑" w:hAnsi="Arial"/>
                <w:bCs/>
                <w:szCs w:val="21"/>
              </w:rPr>
              <w:t>，其中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企业</w:t>
            </w:r>
            <w:r w:rsidRPr="00074B2A">
              <w:rPr>
                <w:rFonts w:ascii="Arial" w:eastAsia="华文细黑" w:hAnsi="Arial"/>
                <w:bCs/>
                <w:szCs w:val="21"/>
              </w:rPr>
              <w:t>活期存款余额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5,878.99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亿元，较上年末增长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10.2%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；并通过支付结算和交易银行等产品，推动存款结构持续优化。</w:t>
            </w:r>
          </w:p>
          <w:p w:rsidR="00BB34AF" w:rsidRPr="00E459CC" w:rsidRDefault="00BB34AF" w:rsidP="00E459CC">
            <w:pPr>
              <w:adjustRightInd w:val="0"/>
              <w:snapToGrid w:val="0"/>
              <w:ind w:firstLineChars="200" w:firstLine="400"/>
            </w:pPr>
          </w:p>
          <w:p w:rsidR="00C87159" w:rsidRPr="00CA0689" w:rsidRDefault="00C87159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理财子公司进展？</w:t>
            </w:r>
          </w:p>
          <w:p w:rsidR="00C87159" w:rsidRPr="00A115A1" w:rsidRDefault="00A115A1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日，本行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董事会已提交通了《关于设立资产管理子公司的议案》，目前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尚需监管机构的批准。</w:t>
            </w:r>
          </w:p>
          <w:bookmarkEnd w:id="3"/>
          <w:bookmarkEnd w:id="4"/>
          <w:bookmarkEnd w:id="5"/>
          <w:bookmarkEnd w:id="6"/>
          <w:bookmarkEnd w:id="7"/>
          <w:bookmarkEnd w:id="8"/>
          <w:p w:rsidR="008B3EDE" w:rsidRDefault="008B3EDE" w:rsidP="004F7360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631CC9" w:rsidRPr="00CA0689" w:rsidRDefault="00631CC9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631CC9" w:rsidRDefault="00631CC9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本行通过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（客户介绍客户）模式开展综合金融业务。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年上半年，本行通过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模式获客（不含信用卡）净增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132.78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万户，占零售整体净增客户（不含信用卡）的比例为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30.8%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4.90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万户，占整体净增财富客户的比例为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38.3%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AUM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1,257.60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亿元，占零售整体净增客户资产余额的比例为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37.2%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模式发放“新一贷”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292.10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亿元，占“新一贷”整体发放的比例为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55.6%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251.03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亿元，占汽融贷款整体发放的比例为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36.7%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模式发卡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222.48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32.3%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A115A1" w:rsidRDefault="00A115A1" w:rsidP="004F7360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3801A7" w:rsidRPr="00CA0689" w:rsidRDefault="003801A7" w:rsidP="003801A7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口袋</w:t>
            </w:r>
            <w:r w:rsidRPr="00C87159">
              <w:rPr>
                <w:rFonts w:ascii="Arial" w:eastAsia="华文细黑" w:hAnsi="Arial" w:hint="eastAsia"/>
                <w:sz w:val="21"/>
              </w:rPr>
              <w:t>APP</w:t>
            </w:r>
            <w:r>
              <w:rPr>
                <w:rFonts w:ascii="Arial" w:eastAsia="华文细黑" w:hAnsi="Arial" w:hint="eastAsia"/>
                <w:sz w:val="21"/>
              </w:rPr>
              <w:t>的定位和运行情况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801A7" w:rsidRDefault="003801A7" w:rsidP="003801A7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Arial"/>
                <w:bCs/>
                <w:sz w:val="21"/>
                <w:szCs w:val="21"/>
              </w:rPr>
            </w:pP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2019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年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6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月末，平安口袋银行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APP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注册客户数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7,431.93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万户，较上年末增长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19.4%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，月活客户数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2,835.13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万户，较上年末增长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9.5%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。</w:t>
            </w:r>
          </w:p>
          <w:p w:rsidR="003801A7" w:rsidRPr="00074B2A" w:rsidRDefault="003801A7" w:rsidP="003801A7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074B2A">
              <w:rPr>
                <w:rFonts w:ascii="Arial" w:eastAsia="华文细黑" w:hAnsi="Arial" w:cs="Arial" w:hint="eastAsia"/>
                <w:sz w:val="21"/>
                <w:szCs w:val="21"/>
              </w:rPr>
              <w:t>2019</w:t>
            </w:r>
            <w:r w:rsidRPr="00074B2A">
              <w:rPr>
                <w:rFonts w:ascii="Arial" w:eastAsia="华文细黑" w:hAnsi="Arial" w:cs="Arial" w:hint="eastAsia"/>
                <w:sz w:val="21"/>
                <w:szCs w:val="21"/>
              </w:rPr>
              <w:t>年上半年，本行持续聚焦基础零售客户获客及经营，通过场景化、科技化手段，利用不同的互联网场景打造多种获客路径，坚持科技赋能和大数据驱动客户分析及经营策略的制定，促进获客及客户经营效率与产能提升。</w:t>
            </w:r>
          </w:p>
          <w:p w:rsidR="003801A7" w:rsidRDefault="003801A7" w:rsidP="004F7360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442349" w:rsidRPr="00631CC9" w:rsidRDefault="00442349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631CC9">
              <w:rPr>
                <w:rFonts w:ascii="Arial" w:eastAsia="华文细黑" w:hAnsi="Arial" w:hint="eastAsia"/>
                <w:sz w:val="21"/>
              </w:rPr>
              <w:t>科技的投入和成果如何？</w:t>
            </w:r>
          </w:p>
          <w:p w:rsidR="00442349" w:rsidRDefault="00442349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本行将“科技引领”作为全行首要发展战略方针。科技投入方面，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年，本行科技投入大幅增加，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资本性支出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25.75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亿元、同比增长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82%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442349" w:rsidRDefault="00442349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科技治理方面，本行制定了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三年（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2019-2021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）发展规划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442349" w:rsidRDefault="00442349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创新方面，依托平安集团在人工智能、区块链、云计算等领域的核心技术和资源，利用新技术赋能业务，持续提升客户体验、丰富金融产品、创新业务模式、完善风控体系、优化运营效率、促进智慧管理。“科技引领”推动战略转型已初见成效。</w:t>
            </w:r>
          </w:p>
          <w:p w:rsidR="005E33CA" w:rsidRDefault="005E33CA" w:rsidP="004F7360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226184" w:rsidRPr="00226184" w:rsidRDefault="00226184" w:rsidP="00226184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226184">
              <w:rPr>
                <w:rFonts w:ascii="Arial" w:eastAsia="华文细黑" w:hAnsi="Arial" w:hint="eastAsia"/>
                <w:sz w:val="21"/>
              </w:rPr>
              <w:t>转股期及强制赎回条款是什么？</w:t>
            </w:r>
          </w:p>
          <w:p w:rsidR="00226184" w:rsidRPr="00226184" w:rsidRDefault="00226184" w:rsidP="00226184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我行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日进入转股期，转股价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11.63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元，强制赎回价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13.96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元。</w:t>
            </w:r>
          </w:p>
          <w:p w:rsidR="00226184" w:rsidRPr="00226184" w:rsidRDefault="00226184" w:rsidP="00226184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进入转股期以后，如果平安银行股价连续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30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个交易日中有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15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个交易日的收盘价高于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13.96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元，则可以通过强制赎回集中进行转股（对于未转股的投资者，我行将有权按照债券面值加当期应计利息的价格，强制赎回可转债）。</w:t>
            </w:r>
          </w:p>
          <w:p w:rsidR="00226184" w:rsidRPr="00A115A1" w:rsidRDefault="00226184" w:rsidP="004F7360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631CC9" w:rsidRDefault="00A115A1" w:rsidP="004F736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631CC9">
              <w:rPr>
                <w:rFonts w:ascii="Arial" w:eastAsia="华文细黑" w:hAnsi="Arial" w:hint="eastAsia"/>
                <w:sz w:val="21"/>
              </w:rPr>
              <w:t>贵行发行可转债后，资本充足率情况？</w:t>
            </w:r>
          </w:p>
          <w:p w:rsidR="0003132F" w:rsidRPr="0003132F" w:rsidRDefault="0003132F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月末，本行核心一级资本充足率、一级资本充足率及资本充足率分别为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8.89%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9.71%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及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12.62%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，均满足监管达标要求。其中，核心一级资本充足率、一级资本充足率及资本充足率较上年末分别提高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0.35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0.32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及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1.12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个百分点。</w:t>
            </w:r>
          </w:p>
          <w:p w:rsidR="00A115A1" w:rsidRDefault="0003132F" w:rsidP="004F736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本行在通过利润留存补充资本的基础上，积极拓展外源性资本补充渠道，持续推进资本工具的发行工作。本行已于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25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日完成发行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260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亿元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A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股可转换公司债券，转股后将有效补充本行核心一级资本；并于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4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25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日在全国银行间债券市场公开发行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300</w:t>
            </w:r>
            <w:r w:rsidRPr="0003132F">
              <w:rPr>
                <w:rFonts w:ascii="Arial" w:eastAsia="华文细黑" w:hAnsi="Arial" w:hint="eastAsia"/>
                <w:bCs/>
                <w:sz w:val="21"/>
                <w:szCs w:val="21"/>
              </w:rPr>
              <w:t>亿元人民币二级资本债券，进一步提高资本充足水平。</w:t>
            </w: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3801A7" w:rsidRPr="00CA0689" w:rsidRDefault="003801A7" w:rsidP="003801A7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分行和网点的发展情况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801A7" w:rsidRDefault="003801A7" w:rsidP="003801A7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Arial"/>
                <w:bCs/>
                <w:sz w:val="21"/>
                <w:szCs w:val="21"/>
              </w:rPr>
            </w:pP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本行持续实施网点智能化建设，合理配置网点布局，截至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201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9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年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6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月末，本行有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84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家分行、共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1,0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5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3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家营业机构</w:t>
            </w:r>
            <w:r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。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本行持续复制推广“轻型化、社区化、智能化、多元化”的零售新门店，全国已开业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211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家新门店。</w:t>
            </w:r>
          </w:p>
          <w:p w:rsidR="003801A7" w:rsidRPr="003801A7" w:rsidRDefault="003801A7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631CC9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7A454D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中期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3075A1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075A1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075A1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16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AF" w:rsidRDefault="00A855AF" w:rsidP="00D96584">
      <w:r>
        <w:separator/>
      </w:r>
    </w:p>
  </w:endnote>
  <w:endnote w:type="continuationSeparator" w:id="0">
    <w:p w:rsidR="00A855AF" w:rsidRDefault="00A855AF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AF" w:rsidRDefault="00A855AF" w:rsidP="00D96584">
      <w:r>
        <w:separator/>
      </w:r>
    </w:p>
  </w:footnote>
  <w:footnote w:type="continuationSeparator" w:id="0">
    <w:p w:rsidR="00A855AF" w:rsidRDefault="00A855AF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3132F"/>
    <w:rsid w:val="00043512"/>
    <w:rsid w:val="0005090F"/>
    <w:rsid w:val="00083D6A"/>
    <w:rsid w:val="000A151D"/>
    <w:rsid w:val="000A2DF8"/>
    <w:rsid w:val="000B3693"/>
    <w:rsid w:val="000B41B6"/>
    <w:rsid w:val="00101C48"/>
    <w:rsid w:val="00114330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26184"/>
    <w:rsid w:val="00227050"/>
    <w:rsid w:val="002515C0"/>
    <w:rsid w:val="002721F3"/>
    <w:rsid w:val="002B200E"/>
    <w:rsid w:val="002B4EAA"/>
    <w:rsid w:val="002B5D00"/>
    <w:rsid w:val="003075A1"/>
    <w:rsid w:val="003317E5"/>
    <w:rsid w:val="0034241B"/>
    <w:rsid w:val="00354883"/>
    <w:rsid w:val="00375010"/>
    <w:rsid w:val="003777D5"/>
    <w:rsid w:val="003801A7"/>
    <w:rsid w:val="003B107D"/>
    <w:rsid w:val="003B721F"/>
    <w:rsid w:val="003C375D"/>
    <w:rsid w:val="003C42A4"/>
    <w:rsid w:val="003F144D"/>
    <w:rsid w:val="003F79D6"/>
    <w:rsid w:val="00413B4B"/>
    <w:rsid w:val="0043629D"/>
    <w:rsid w:val="00442349"/>
    <w:rsid w:val="0045059E"/>
    <w:rsid w:val="00453F37"/>
    <w:rsid w:val="00461C9C"/>
    <w:rsid w:val="00471475"/>
    <w:rsid w:val="0049405C"/>
    <w:rsid w:val="00497C7E"/>
    <w:rsid w:val="004B47B1"/>
    <w:rsid w:val="004F6F03"/>
    <w:rsid w:val="004F7360"/>
    <w:rsid w:val="00511122"/>
    <w:rsid w:val="0051123B"/>
    <w:rsid w:val="00535D6F"/>
    <w:rsid w:val="005464C3"/>
    <w:rsid w:val="00550FD9"/>
    <w:rsid w:val="005B3BAE"/>
    <w:rsid w:val="005E33CA"/>
    <w:rsid w:val="00622C3A"/>
    <w:rsid w:val="00623A26"/>
    <w:rsid w:val="00631CC9"/>
    <w:rsid w:val="0063326E"/>
    <w:rsid w:val="006350C6"/>
    <w:rsid w:val="00684A13"/>
    <w:rsid w:val="006A1753"/>
    <w:rsid w:val="006A7B25"/>
    <w:rsid w:val="006B0B04"/>
    <w:rsid w:val="006C5210"/>
    <w:rsid w:val="006E4D55"/>
    <w:rsid w:val="006F64B3"/>
    <w:rsid w:val="00740C1A"/>
    <w:rsid w:val="00761259"/>
    <w:rsid w:val="00777BC7"/>
    <w:rsid w:val="00793203"/>
    <w:rsid w:val="007A454D"/>
    <w:rsid w:val="007C213F"/>
    <w:rsid w:val="00803207"/>
    <w:rsid w:val="0082259D"/>
    <w:rsid w:val="008439B9"/>
    <w:rsid w:val="00845B88"/>
    <w:rsid w:val="00853994"/>
    <w:rsid w:val="00862CF2"/>
    <w:rsid w:val="008710F9"/>
    <w:rsid w:val="00880699"/>
    <w:rsid w:val="0089673B"/>
    <w:rsid w:val="008A2F26"/>
    <w:rsid w:val="008A4E3E"/>
    <w:rsid w:val="008B3EDE"/>
    <w:rsid w:val="008C111F"/>
    <w:rsid w:val="008F16A2"/>
    <w:rsid w:val="00921892"/>
    <w:rsid w:val="00930952"/>
    <w:rsid w:val="00941F1C"/>
    <w:rsid w:val="00951547"/>
    <w:rsid w:val="009C4894"/>
    <w:rsid w:val="009C5679"/>
    <w:rsid w:val="009E293D"/>
    <w:rsid w:val="009F13CD"/>
    <w:rsid w:val="00A06B39"/>
    <w:rsid w:val="00A115A1"/>
    <w:rsid w:val="00A140B8"/>
    <w:rsid w:val="00A1521F"/>
    <w:rsid w:val="00A62052"/>
    <w:rsid w:val="00A855AF"/>
    <w:rsid w:val="00A87A56"/>
    <w:rsid w:val="00AA5A95"/>
    <w:rsid w:val="00AB47CE"/>
    <w:rsid w:val="00AB67BB"/>
    <w:rsid w:val="00AB6F84"/>
    <w:rsid w:val="00B17ECB"/>
    <w:rsid w:val="00B31C4E"/>
    <w:rsid w:val="00B454CA"/>
    <w:rsid w:val="00B65391"/>
    <w:rsid w:val="00B708D6"/>
    <w:rsid w:val="00B71E2E"/>
    <w:rsid w:val="00B84A84"/>
    <w:rsid w:val="00BB34AF"/>
    <w:rsid w:val="00BB741D"/>
    <w:rsid w:val="00BE11BC"/>
    <w:rsid w:val="00BE3743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7317"/>
    <w:rsid w:val="00E459CC"/>
    <w:rsid w:val="00E50C4A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654</Words>
  <Characters>3734</Characters>
  <Application>Microsoft Office Word</Application>
  <DocSecurity>0</DocSecurity>
  <Lines>31</Lines>
  <Paragraphs>8</Paragraphs>
  <ScaleCrop>false</ScaleCrop>
  <Company>sdb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10</cp:revision>
  <dcterms:created xsi:type="dcterms:W3CDTF">2019-10-14T06:44:00Z</dcterms:created>
  <dcterms:modified xsi:type="dcterms:W3CDTF">2019-10-17T10:45:00Z</dcterms:modified>
</cp:coreProperties>
</file>