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1CC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631CC9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3450A0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海外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路演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3450A0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3450A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3450A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 xml:space="preserve"> - 1</w:t>
            </w:r>
            <w:r w:rsidR="003450A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DD684A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旧金山、波士顿、纽约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3B5748" w:rsidP="00A1521F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胡跃飞、张小璐、蔡新发、郭世邦、项有志、周强、王伟、</w:t>
            </w:r>
            <w:r w:rsidR="00631CC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631CC9" w:rsidRPr="00471475" w:rsidRDefault="00631CC9" w:rsidP="00631CC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平安银行</w:t>
            </w:r>
            <w:r w:rsidR="00DD684A">
              <w:rPr>
                <w:rFonts w:ascii="Arial" w:eastAsia="华文细黑" w:hAnsi="Arial" w:hint="eastAsia"/>
                <w:sz w:val="21"/>
              </w:rPr>
              <w:t>整体经营情况</w:t>
            </w:r>
            <w:r w:rsidRPr="00471475">
              <w:rPr>
                <w:rFonts w:ascii="Arial" w:eastAsia="华文细黑" w:hAnsi="Arial" w:hint="eastAsia"/>
                <w:sz w:val="21"/>
              </w:rPr>
              <w:t>？</w:t>
            </w:r>
          </w:p>
          <w:p w:rsidR="00631CC9" w:rsidRPr="00631CC9" w:rsidRDefault="00DD684A" w:rsidP="00DD684A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DD684A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年上半年，本行实现营业收入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678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8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5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；其中，利息净收入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436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39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16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6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；非利息净收入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241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90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2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。减值损失前营业利润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472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41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19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0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；净利润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154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03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亿元，同比增长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15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；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2019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年上半年净利差、净息差分别为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2.54%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、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2.62%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，同比分别提升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48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个基点、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36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个基点；非利息净收入占比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3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5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7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%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，同比上升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/>
                <w:b w:val="0"/>
                <w:sz w:val="21"/>
              </w:rPr>
              <w:t>.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 w:rsidRPr="00DD684A">
              <w:rPr>
                <w:rFonts w:ascii="Arial" w:eastAsia="华文细黑" w:hAnsi="Arial" w:hint="eastAsia"/>
                <w:b w:val="0"/>
                <w:sz w:val="21"/>
              </w:rPr>
              <w:t>个百分点，盈利能力保持稳定。</w:t>
            </w:r>
          </w:p>
          <w:p w:rsidR="00DD684A" w:rsidRPr="003B5748" w:rsidRDefault="00DD684A" w:rsidP="003B5748">
            <w:pPr>
              <w:adjustRightInd w:val="0"/>
              <w:snapToGrid w:val="0"/>
              <w:spacing w:afterLines="20" w:after="62"/>
              <w:rPr>
                <w:rFonts w:ascii="Arial" w:eastAsia="华文细黑" w:hAnsi="Arial" w:hint="eastAsia"/>
                <w:sz w:val="21"/>
                <w:szCs w:val="21"/>
              </w:rPr>
            </w:pPr>
          </w:p>
          <w:p w:rsidR="003B5748" w:rsidRPr="004F7360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4F7360">
              <w:rPr>
                <w:rFonts w:ascii="Arial" w:eastAsia="华文细黑" w:hAnsi="Arial" w:hint="eastAsia"/>
                <w:sz w:val="21"/>
              </w:rPr>
              <w:t>零售转型做的挺好，为什么现在又开始做对公了？</w:t>
            </w:r>
          </w:p>
          <w:p w:rsidR="003B5748" w:rsidRPr="004F7360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rPr>
                <w:rFonts w:ascii="Arial" w:eastAsia="华文细黑" w:hAnsi="Arial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过去三年，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加大力度通过各种渠道做综合金融，快速迁徙集团客户。过去三年看到的更多的是零售方面的综合金融成效和业务增长，零售占比提升至六成。未来对公和零售需要协同发展，加大集团对公资源的撬动，更有利于未来零售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2.0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转型的目标。</w:t>
            </w:r>
          </w:p>
          <w:p w:rsidR="003B5748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 w:hint="eastAsia"/>
                <w:b w:val="0"/>
                <w:sz w:val="21"/>
              </w:rPr>
            </w:pPr>
            <w:r>
              <w:rPr>
                <w:rFonts w:ascii="Arial" w:eastAsia="华文细黑" w:hAnsi="Arial" w:hint="eastAsia"/>
                <w:b w:val="0"/>
                <w:sz w:val="21"/>
              </w:rPr>
              <w:t>接下来，银行战略没有改变</w:t>
            </w:r>
            <w:r w:rsidRPr="004F7360">
              <w:rPr>
                <w:rFonts w:ascii="Arial" w:eastAsia="华文细黑" w:hAnsi="Arial" w:hint="eastAsia"/>
                <w:b w:val="0"/>
                <w:sz w:val="21"/>
              </w:rPr>
              <w:t>。未来愿景还是全球领先、中国卓越的智能零售银行。对公过去是压降，现在恢复正常状态，将在负债、代发等业务帮助零售，未来零售私行靠对公获取优质资产，有利于零售私行财务管理业务的长期发展和提升差异化竞争优势。</w:t>
            </w:r>
          </w:p>
          <w:p w:rsidR="003B5748" w:rsidRPr="003B5748" w:rsidRDefault="003B5748" w:rsidP="005B3BAE">
            <w:pP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3B5748" w:rsidRPr="00CA0689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零售业务</w:t>
            </w:r>
            <w:r>
              <w:rPr>
                <w:rFonts w:ascii="Arial" w:eastAsia="华文细黑" w:hAnsi="Arial" w:hint="eastAsia"/>
                <w:sz w:val="21"/>
              </w:rPr>
              <w:t>3+2+1</w:t>
            </w:r>
            <w:r>
              <w:rPr>
                <w:rFonts w:ascii="Arial" w:eastAsia="华文细黑" w:hAnsi="Arial" w:hint="eastAsia"/>
                <w:sz w:val="21"/>
              </w:rPr>
              <w:t>策略的具体做法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B5748" w:rsidRDefault="003B5748" w:rsidP="003B5748">
            <w:pPr>
              <w:rPr>
                <w:rFonts w:ascii="Arial" w:eastAsia="华文细黑" w:hAnsi="Arial" w:hint="eastAsia"/>
                <w:sz w:val="21"/>
                <w:szCs w:val="21"/>
              </w:rPr>
            </w:pP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本行紧跟国家战略，坚定推进零售转型，持续深化“科技引领、零售突破、对公做精”十二字策略方针，分别构建零售和对公业务的“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3+2+1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”经营策略，全面推进“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AI Bank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”体系建设，全面强化金融风险防控，持续加大民营企业、小微企业支持力度，持续提升服务实体经济能力，持续大力推进金融扶贫，致力打造“中国最卓越、全球领先的智能化零售银行”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3B5748" w:rsidRDefault="003B5748" w:rsidP="003B5748">
            <w:pP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3B5748" w:rsidRPr="00CA0689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对公业务新策略的具体情况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B5748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074B2A">
              <w:rPr>
                <w:rFonts w:ascii="Arial" w:eastAsia="华文细黑" w:hAnsi="Arial"/>
                <w:sz w:val="21"/>
                <w:szCs w:val="21"/>
              </w:rPr>
              <w:t>对公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业务坚持以客户为中心，以科技为驱动，构建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对公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业务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“3+2+1”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经营策略。做强行业银行、交易银行与综合金融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“3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大支柱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，聚焦战略客群与小微客群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“2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大客群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，坚守资产质量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“1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条生命线</w:t>
            </w:r>
            <w:r w:rsidRPr="00074B2A">
              <w:rPr>
                <w:rFonts w:ascii="Arial" w:eastAsia="华文细黑" w:hAnsi="Arial"/>
                <w:sz w:val="21"/>
                <w:szCs w:val="21"/>
              </w:rPr>
              <w:t>”</w:t>
            </w:r>
            <w:r w:rsidRPr="00074B2A">
              <w:rPr>
                <w:rFonts w:ascii="Arial" w:eastAsia="华文细黑" w:hAnsi="Arial" w:hint="eastAsia"/>
                <w:sz w:val="21"/>
                <w:szCs w:val="21"/>
              </w:rPr>
              <w:t>，做强对公生态，丰富业务场景，提供综合金融解决方案，为零售输送更多优质资产。</w:t>
            </w:r>
          </w:p>
          <w:p w:rsidR="003B5748" w:rsidRPr="00074B2A" w:rsidRDefault="003B5748" w:rsidP="003B5748">
            <w:pPr>
              <w:adjustRightInd w:val="0"/>
              <w:snapToGrid w:val="0"/>
              <w:ind w:firstLineChars="200" w:firstLine="400"/>
              <w:rPr>
                <w:rFonts w:ascii="Arial" w:eastAsia="华文细黑" w:hAnsi="Arial"/>
                <w:bCs/>
                <w:szCs w:val="21"/>
              </w:rPr>
            </w:pPr>
            <w:r w:rsidRPr="00074B2A">
              <w:rPr>
                <w:rFonts w:ascii="Arial" w:eastAsia="华文细黑" w:hAnsi="Arial"/>
                <w:bCs/>
                <w:szCs w:val="21"/>
              </w:rPr>
              <w:t>2019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年上半年，本行对公</w:t>
            </w:r>
            <w:r w:rsidRPr="00074B2A">
              <w:rPr>
                <w:rFonts w:ascii="Arial" w:eastAsia="华文细黑" w:hAnsi="Arial"/>
                <w:bCs/>
                <w:szCs w:val="21"/>
              </w:rPr>
              <w:t>业务坚持以客户为中心，做强对公生态，企业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存款稳固提升。</w:t>
            </w:r>
            <w:r w:rsidRPr="00074B2A">
              <w:rPr>
                <w:rFonts w:ascii="Arial" w:eastAsia="华文细黑" w:hAnsi="Arial"/>
                <w:bCs/>
                <w:szCs w:val="21"/>
              </w:rPr>
              <w:t>2019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年</w:t>
            </w:r>
            <w:r w:rsidRPr="00074B2A">
              <w:rPr>
                <w:rFonts w:ascii="Arial" w:eastAsia="华文细黑" w:hAnsi="Arial"/>
                <w:bCs/>
                <w:szCs w:val="21"/>
              </w:rPr>
              <w:t>6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月末，企业存款余额为</w:t>
            </w:r>
            <w:r w:rsidRPr="00074B2A">
              <w:rPr>
                <w:rFonts w:ascii="Arial" w:eastAsia="华文细黑" w:hAnsi="Arial"/>
                <w:bCs/>
                <w:szCs w:val="21"/>
              </w:rPr>
              <w:t>18,024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亿元，较上年末增长</w:t>
            </w:r>
            <w:r w:rsidRPr="00074B2A">
              <w:rPr>
                <w:rFonts w:ascii="Arial" w:eastAsia="华文细黑" w:hAnsi="Arial"/>
                <w:bCs/>
                <w:szCs w:val="21"/>
              </w:rPr>
              <w:t>8.1%</w:t>
            </w:r>
            <w:r w:rsidRPr="00074B2A">
              <w:rPr>
                <w:rFonts w:ascii="Arial" w:eastAsia="华文细黑" w:hAnsi="Arial"/>
                <w:bCs/>
                <w:szCs w:val="21"/>
              </w:rPr>
              <w:t>，其中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企业</w:t>
            </w:r>
            <w:r w:rsidRPr="00074B2A">
              <w:rPr>
                <w:rFonts w:ascii="Arial" w:eastAsia="华文细黑" w:hAnsi="Arial"/>
                <w:bCs/>
                <w:szCs w:val="21"/>
              </w:rPr>
              <w:t>活期存款余额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5,878.99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亿元，较上年末增长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10.2%</w:t>
            </w:r>
            <w:r w:rsidRPr="00074B2A">
              <w:rPr>
                <w:rFonts w:ascii="Arial" w:eastAsia="华文细黑" w:hAnsi="Arial" w:hint="eastAsia"/>
                <w:bCs/>
                <w:szCs w:val="21"/>
              </w:rPr>
              <w:t>；并通过支付结算和交易银行等产品，推动存款结构持续优化。</w:t>
            </w:r>
          </w:p>
          <w:p w:rsidR="003B5748" w:rsidRPr="003B5748" w:rsidRDefault="003B5748" w:rsidP="003B5748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DD684A" w:rsidRPr="00471475" w:rsidRDefault="00DD684A" w:rsidP="00DD684A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471475">
              <w:rPr>
                <w:rFonts w:ascii="Arial" w:eastAsia="华文细黑" w:hAnsi="Arial" w:hint="eastAsia"/>
                <w:sz w:val="21"/>
              </w:rPr>
              <w:t>净息差的趋势分析？</w:t>
            </w:r>
          </w:p>
          <w:p w:rsidR="00DD684A" w:rsidRPr="00631CC9" w:rsidRDefault="00DD684A" w:rsidP="00DD684A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/>
                <w:b w:val="0"/>
                <w:sz w:val="21"/>
              </w:rPr>
            </w:pPr>
            <w:r w:rsidRPr="00631CC9">
              <w:rPr>
                <w:rFonts w:ascii="Arial" w:eastAsia="华文细黑" w:hAnsi="Arial" w:hint="eastAsia"/>
                <w:b w:val="0"/>
                <w:sz w:val="21"/>
              </w:rPr>
              <w:t>2019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年上半年本行净息差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2.62%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，同比提升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36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t>个基点。截止上半年市场资金面整体宽松，市场利率全线走低引导本行付息负债成本率下降。同时，受高收益资产结构持续优化，本行资金运用效益提升。</w:t>
            </w:r>
          </w:p>
          <w:p w:rsidR="00DD684A" w:rsidRDefault="00DD684A" w:rsidP="00DD684A">
            <w:pPr>
              <w:pStyle w:val="3"/>
              <w:numPr>
                <w:ilvl w:val="0"/>
                <w:numId w:val="0"/>
              </w:numPr>
              <w:ind w:firstLineChars="200" w:firstLine="420"/>
              <w:jc w:val="left"/>
              <w:outlineLvl w:val="2"/>
              <w:rPr>
                <w:rFonts w:ascii="Arial" w:eastAsia="华文细黑" w:hAnsi="Arial" w:hint="eastAsia"/>
                <w:b w:val="0"/>
                <w:sz w:val="21"/>
              </w:rPr>
            </w:pPr>
            <w:r w:rsidRPr="00631CC9">
              <w:rPr>
                <w:rFonts w:ascii="Arial" w:eastAsia="华文细黑" w:hAnsi="Arial" w:hint="eastAsia"/>
                <w:b w:val="0"/>
                <w:sz w:val="21"/>
              </w:rPr>
              <w:t>今年以来本行净息差稳步提升。一是主动优化资产结构，强化高成本负债管控。二是积极运用内部定价管理工具，加快市场利率走势传导，引导业务定价跟随市场，加强负债短久期策略调整，促进资产负债结构优化。三是强化宏观市场研判，实施动态的资产负债组合管理策略，把握市场机会，主动调节资产负债结构，积极应对市场变化，强化资产负债管理的前瞻性、主动性、灵活性。随着</w:t>
            </w:r>
            <w:r w:rsidRPr="00631CC9">
              <w:rPr>
                <w:rFonts w:ascii="Arial" w:eastAsia="华文细黑" w:hAnsi="Arial" w:hint="eastAsia"/>
                <w:b w:val="0"/>
                <w:sz w:val="21"/>
              </w:rPr>
              <w:lastRenderedPageBreak/>
              <w:t>资产结构不断优化，负债成本持续改善，本行净息差预计将维持在合理水平。</w:t>
            </w:r>
          </w:p>
          <w:p w:rsidR="003B5748" w:rsidRDefault="003B5748" w:rsidP="003B5748">
            <w:pPr>
              <w:rPr>
                <w:rFonts w:hint="eastAsia"/>
                <w:lang w:bidi="he-IL"/>
              </w:rPr>
            </w:pPr>
          </w:p>
          <w:p w:rsidR="003B5748" w:rsidRPr="00E459CC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459CC">
              <w:rPr>
                <w:rFonts w:ascii="Arial" w:eastAsia="华文细黑" w:hAnsi="Arial" w:hint="eastAsia"/>
                <w:sz w:val="21"/>
              </w:rPr>
              <w:t>存款结构变化情况分析</w:t>
            </w:r>
          </w:p>
          <w:p w:rsidR="003B5748" w:rsidRPr="00E459CC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截至报告期末，我行一般存款余额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23,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432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亿元，较年初增加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2,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146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亿元，增幅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10%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。其中：零售存款余额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5,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408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亿元，比年初增加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792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亿元，增幅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17%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；公司存款余额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18,024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亿元，比年初增加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1,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354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亿元，增幅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8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，上半年存款增长势头良好。</w:t>
            </w:r>
          </w:p>
          <w:p w:rsidR="003B5748" w:rsidRDefault="003B5748" w:rsidP="003B5748">
            <w:pPr>
              <w:rPr>
                <w:rFonts w:hint="eastAsia"/>
                <w:lang w:bidi="he-IL"/>
              </w:rPr>
            </w:pPr>
          </w:p>
          <w:p w:rsidR="003B5748" w:rsidRDefault="003B5748" w:rsidP="003B5748">
            <w:pPr>
              <w:pStyle w:val="3"/>
              <w:outlineLvl w:val="2"/>
              <w:rPr>
                <w:rFonts w:ascii="Arial" w:eastAsia="华文细黑" w:hAnsi="Arial" w:hint="eastAsia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过去几年零售贷款增长挺好的，但今年来贷款增速下降</w:t>
            </w:r>
            <w:r w:rsidRPr="00453F37">
              <w:rPr>
                <w:rFonts w:ascii="Arial" w:eastAsia="华文细黑" w:hAnsi="Arial" w:hint="eastAsia"/>
                <w:sz w:val="21"/>
              </w:rPr>
              <w:t>？下半年如何应对？</w:t>
            </w:r>
          </w:p>
          <w:p w:rsidR="003B5748" w:rsidRPr="00453F37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1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）动手早：对外部形式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比较敏感，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尤其是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共债风险上升，监管加强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P2P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管控等，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我行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17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年底和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18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年初就开始提升准入标准，加强主动管控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；</w:t>
            </w:r>
          </w:p>
          <w:p w:rsidR="003B5748" w:rsidRPr="00453F37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2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）动手狠：大大提高准入门槛，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贷款审批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通过率下降了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48%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。；</w:t>
            </w:r>
          </w:p>
          <w:p w:rsidR="003B5748" w:rsidRPr="00453F37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3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）流程优化：不断优化审批流程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，有利于加大销售效率；</w:t>
            </w:r>
          </w:p>
          <w:p w:rsidR="003B5748" w:rsidRPr="00453F37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rPr>
                <w:rFonts w:ascii="Arial" w:eastAsia="华文细黑" w:hAnsi="Arial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（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4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）有选择的做：加大优质客户的投放，例如集团渠道客户，质量优。</w:t>
            </w:r>
          </w:p>
          <w:p w:rsidR="003B5748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outlineLvl w:val="2"/>
              <w:rPr>
                <w:rFonts w:ascii="Arial" w:eastAsia="华文细黑" w:hAnsi="Arial" w:hint="eastAsia"/>
                <w:b w:val="0"/>
                <w:sz w:val="21"/>
              </w:rPr>
            </w:pPr>
            <w:r w:rsidRPr="00453F37">
              <w:rPr>
                <w:rFonts w:ascii="Arial" w:eastAsia="华文细黑" w:hAnsi="Arial" w:hint="eastAsia"/>
                <w:b w:val="0"/>
                <w:sz w:val="21"/>
              </w:rPr>
              <w:t>下半年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将加大优质客户的渠道</w:t>
            </w:r>
            <w:r w:rsidRPr="00453F37">
              <w:rPr>
                <w:rFonts w:ascii="Arial" w:eastAsia="华文细黑" w:hAnsi="Arial" w:hint="eastAsia"/>
                <w:b w:val="0"/>
                <w:sz w:val="21"/>
              </w:rPr>
              <w:t>，改变客户的结构；流程不断优化：产品流程和客户体验做的更好，吸引更多优质客户；扩大产品面：加强第三方平台合作，做开放银行输出我们的能力，增加覆盖面。</w:t>
            </w:r>
          </w:p>
          <w:p w:rsidR="003B5748" w:rsidRPr="003B5748" w:rsidRDefault="003B5748" w:rsidP="003B5748">
            <w:pPr>
              <w:rPr>
                <w:lang w:bidi="he-IL"/>
              </w:rPr>
            </w:pPr>
          </w:p>
          <w:p w:rsidR="003B5748" w:rsidRPr="00CA0689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非息收入情况及趋势</w:t>
            </w:r>
            <w:r w:rsidRPr="00C87159">
              <w:rPr>
                <w:rFonts w:ascii="Arial" w:eastAsia="华文细黑" w:hAnsi="Arial" w:hint="eastAsia"/>
                <w:sz w:val="21"/>
              </w:rPr>
              <w:t>？</w:t>
            </w:r>
          </w:p>
          <w:p w:rsidR="003B5748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074B2A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074B2A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年上半年，本行手续费及佣金净收入</w:t>
            </w:r>
            <w:r w:rsidRPr="00074B2A">
              <w:rPr>
                <w:rFonts w:ascii="Arial" w:eastAsia="华文细黑" w:hAnsi="Arial"/>
                <w:bCs/>
                <w:sz w:val="21"/>
                <w:szCs w:val="21"/>
              </w:rPr>
              <w:t>183.91</w:t>
            </w:r>
            <w:r w:rsidRPr="00074B2A">
              <w:rPr>
                <w:rFonts w:ascii="Arial" w:eastAsia="华文细黑" w:hAnsi="Arial" w:hint="eastAsia"/>
                <w:bCs/>
                <w:sz w:val="21"/>
                <w:szCs w:val="21"/>
              </w:rPr>
              <w:t>亿元、同比增长</w:t>
            </w:r>
            <w:r w:rsidRPr="00074B2A">
              <w:rPr>
                <w:rFonts w:ascii="Arial" w:eastAsia="华文细黑" w:hAnsi="Arial"/>
                <w:bCs/>
                <w:sz w:val="21"/>
                <w:szCs w:val="21"/>
              </w:rPr>
              <w:t>2.5%</w:t>
            </w:r>
            <w:r w:rsidRPr="00074B2A">
              <w:rPr>
                <w:rFonts w:ascii="Arial" w:eastAsia="华文细黑" w:hAnsi="Arial" w:hint="eastAsia"/>
                <w:bCs/>
                <w:sz w:val="21"/>
                <w:szCs w:val="21"/>
              </w:rPr>
              <w:t>，主要来自银行卡业务手续费收入的持续增加。其他非利息净收入包括投资收益、公允价值变动损益、汇兑损益、其他业务收入、资产处置损益及其他收益。</w:t>
            </w:r>
            <w:r w:rsidRPr="00074B2A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Pr="00074B2A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年上半年，本行其他非利息净收入</w:t>
            </w:r>
            <w:r w:rsidRPr="00074B2A">
              <w:rPr>
                <w:rFonts w:ascii="Arial" w:eastAsia="华文细黑" w:hAnsi="Arial"/>
                <w:bCs/>
                <w:sz w:val="21"/>
                <w:szCs w:val="21"/>
              </w:rPr>
              <w:t>57.99</w:t>
            </w:r>
            <w:r w:rsidRPr="00074B2A">
              <w:rPr>
                <w:rFonts w:ascii="Arial" w:eastAsia="华文细黑" w:hAnsi="Arial" w:hint="eastAsia"/>
                <w:bCs/>
                <w:sz w:val="21"/>
                <w:szCs w:val="21"/>
              </w:rPr>
              <w:t>亿元，同比增长</w:t>
            </w:r>
            <w:r w:rsidRPr="00074B2A">
              <w:rPr>
                <w:rFonts w:ascii="Arial" w:eastAsia="华文细黑" w:hAnsi="Arial"/>
                <w:bCs/>
                <w:sz w:val="21"/>
                <w:szCs w:val="21"/>
              </w:rPr>
              <w:t>210.8%</w:t>
            </w:r>
            <w:r w:rsidRPr="00074B2A">
              <w:rPr>
                <w:rFonts w:ascii="Arial" w:eastAsia="华文细黑" w:hAnsi="Arial" w:hint="eastAsia"/>
                <w:bCs/>
                <w:sz w:val="21"/>
                <w:szCs w:val="21"/>
              </w:rPr>
              <w:t>，主要是交易性金融资产的投资收益增加。</w:t>
            </w:r>
          </w:p>
          <w:p w:rsidR="003B5748" w:rsidRDefault="003B5748" w:rsidP="005B3BAE">
            <w:pP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3B5748" w:rsidRPr="00226184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226184">
              <w:rPr>
                <w:rFonts w:ascii="Arial" w:eastAsia="华文细黑" w:hAnsi="Arial" w:hint="eastAsia"/>
                <w:sz w:val="21"/>
              </w:rPr>
              <w:t>平安银行</w:t>
            </w:r>
            <w:r w:rsidRPr="00226184">
              <w:rPr>
                <w:rFonts w:ascii="Arial" w:eastAsia="华文细黑" w:hAnsi="Arial"/>
                <w:sz w:val="21"/>
              </w:rPr>
              <w:t>2019</w:t>
            </w:r>
            <w:r w:rsidRPr="00226184">
              <w:rPr>
                <w:rFonts w:ascii="Arial" w:eastAsia="华文细黑" w:hAnsi="Arial" w:hint="eastAsia"/>
                <w:sz w:val="21"/>
              </w:rPr>
              <w:t>年</w:t>
            </w:r>
            <w:r w:rsidRPr="00226184">
              <w:rPr>
                <w:rFonts w:ascii="Arial" w:eastAsia="华文细黑" w:hAnsi="Arial"/>
                <w:sz w:val="21"/>
              </w:rPr>
              <w:t>ROA</w:t>
            </w:r>
            <w:r w:rsidRPr="00226184">
              <w:rPr>
                <w:rFonts w:ascii="Arial" w:eastAsia="华文细黑" w:hAnsi="Arial" w:hint="eastAsia"/>
                <w:sz w:val="21"/>
              </w:rPr>
              <w:t>和</w:t>
            </w:r>
            <w:r w:rsidRPr="00226184">
              <w:rPr>
                <w:rFonts w:ascii="Arial" w:eastAsia="华文细黑" w:hAnsi="Arial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sz w:val="21"/>
              </w:rPr>
              <w:t>目标？具体提升举措是什么？</w:t>
            </w:r>
            <w:r w:rsidRPr="00226184">
              <w:rPr>
                <w:rFonts w:ascii="Arial" w:eastAsia="华文细黑" w:hAnsi="Arial"/>
                <w:sz w:val="21"/>
              </w:rPr>
              <w:t xml:space="preserve"> </w:t>
            </w:r>
          </w:p>
          <w:p w:rsidR="003B5748" w:rsidRPr="00226184" w:rsidRDefault="003B5748" w:rsidP="003B5748">
            <w:pPr>
              <w:pStyle w:val="3"/>
              <w:numPr>
                <w:ilvl w:val="0"/>
                <w:numId w:val="0"/>
              </w:numPr>
              <w:ind w:firstLineChars="200" w:firstLine="420"/>
              <w:rPr>
                <w:rFonts w:ascii="Arial" w:eastAsia="华文细黑" w:hAnsi="Arial"/>
                <w:b w:val="0"/>
                <w:sz w:val="21"/>
              </w:rPr>
            </w:pPr>
            <w:r w:rsidRPr="00226184">
              <w:rPr>
                <w:rFonts w:ascii="Arial" w:eastAsia="华文细黑" w:hAnsi="Arial"/>
                <w:b w:val="0"/>
                <w:sz w:val="21"/>
              </w:rPr>
              <w:t>2019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年上半年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ROE 12.63%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，同比增加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0.27</w:t>
            </w:r>
            <w:r>
              <w:rPr>
                <w:rFonts w:ascii="Arial" w:eastAsia="华文细黑" w:hAnsi="Arial" w:hint="eastAsia"/>
                <w:b w:val="0"/>
                <w:sz w:val="21"/>
              </w:rPr>
              <w:t>个百分点。我们需要在利润增长和风险抵御能力上寻求合理平衡，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未来</w:t>
            </w:r>
            <w:r w:rsidRPr="00226184">
              <w:rPr>
                <w:rFonts w:ascii="Arial" w:eastAsia="华文细黑" w:hAnsi="Arial"/>
                <w:b w:val="0"/>
                <w:sz w:val="21"/>
              </w:rPr>
              <w:t>ROE</w:t>
            </w:r>
            <w:r w:rsidRPr="00226184">
              <w:rPr>
                <w:rFonts w:ascii="Arial" w:eastAsia="华文细黑" w:hAnsi="Arial" w:hint="eastAsia"/>
                <w:b w:val="0"/>
                <w:sz w:val="21"/>
              </w:rPr>
              <w:t>有望保持持续上升。</w:t>
            </w:r>
          </w:p>
          <w:p w:rsidR="003B5748" w:rsidRDefault="003B5748" w:rsidP="003B5748">
            <w:pPr>
              <w:adjustRightInd w:val="0"/>
              <w:snapToGrid w:val="0"/>
              <w:rPr>
                <w:rFonts w:ascii="Arial" w:eastAsia="华文细黑" w:hAnsi="Arial" w:hint="eastAsia"/>
                <w:sz w:val="21"/>
                <w:szCs w:val="21"/>
              </w:rPr>
            </w:pPr>
          </w:p>
          <w:p w:rsidR="003450A0" w:rsidRPr="00CA0689" w:rsidRDefault="003450A0" w:rsidP="003450A0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小微贷款情况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450A0" w:rsidRPr="00631CC9" w:rsidRDefault="003450A0" w:rsidP="003450A0">
            <w:pPr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月末，民营企业贷款余额占对公贷款余额的比例为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73.2%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；本行单户授信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1,000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万（含）以下的小微企业贷款较年初增长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7.1%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，高于全行各项贷款平均增速，有贷款余额户数高于年初水平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1.5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万户，该类小微企业贷款利率较上年末下降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1.27</w:t>
            </w:r>
            <w:r w:rsidRPr="003450A0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个百分点，不良率控制在合理范围。</w:t>
            </w:r>
          </w:p>
          <w:p w:rsidR="00A115A1" w:rsidRDefault="00A115A1" w:rsidP="005E33CA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DD684A" w:rsidRPr="00CA0689" w:rsidRDefault="00DD684A" w:rsidP="00DD684A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私行及财富业务发展情况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DD684A" w:rsidRPr="00DD684A" w:rsidRDefault="00DD684A" w:rsidP="00DD684A">
            <w:pPr>
              <w:ind w:firstLineChars="250" w:firstLine="525"/>
              <w:rPr>
                <w:rFonts w:ascii="Arial" w:eastAsia="华文细黑" w:hAnsi="Arial"/>
                <w:sz w:val="21"/>
                <w:szCs w:val="21"/>
              </w:rPr>
            </w:pP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月末，本行财富客户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71.97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万户、较上年末增长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21.6%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；私行达标客户（私行客户标准为客户近三月任一月的日均资产超过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600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万元）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3.84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万户、较上年末增长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27.9%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，私行达标客户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AUM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规模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6,122.45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亿元，较上年末净增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1,544.9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亿元。本行在私人银行和财富管理方面，强化落实经营转型策略，在产品、体系和机制三方面积极推进战略落地。</w:t>
            </w:r>
          </w:p>
          <w:p w:rsidR="00C87159" w:rsidRDefault="00C87159" w:rsidP="005B3BAE">
            <w:pPr>
              <w:adjustRightInd w:val="0"/>
              <w:snapToGrid w:val="0"/>
              <w:rPr>
                <w:rFonts w:ascii="Arial" w:eastAsia="华文细黑" w:hAnsi="Arial" w:hint="eastAsia"/>
                <w:sz w:val="21"/>
                <w:szCs w:val="21"/>
              </w:rPr>
            </w:pPr>
            <w:bookmarkStart w:id="0" w:name="_Toc464590920"/>
            <w:bookmarkStart w:id="1" w:name="_Toc464720594"/>
            <w:bookmarkStart w:id="2" w:name="_Toc448833292"/>
            <w:bookmarkStart w:id="3" w:name="_Toc464590889"/>
            <w:bookmarkStart w:id="4" w:name="_Toc464720557"/>
            <w:bookmarkStart w:id="5" w:name="_Toc448833286"/>
            <w:bookmarkStart w:id="6" w:name="_Toc458425958"/>
            <w:bookmarkStart w:id="7" w:name="_Toc464590895"/>
            <w:bookmarkStart w:id="8" w:name="_Toc464720571"/>
          </w:p>
          <w:p w:rsidR="003B5748" w:rsidRPr="00CA0689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汽车金融的新策略</w:t>
            </w:r>
            <w:r w:rsidRPr="00C87159">
              <w:rPr>
                <w:rFonts w:ascii="Arial" w:eastAsia="华文细黑" w:hAnsi="Arial" w:hint="eastAsia"/>
                <w:sz w:val="21"/>
              </w:rPr>
              <w:t>？</w:t>
            </w:r>
          </w:p>
          <w:p w:rsidR="003B5748" w:rsidRPr="00DD684A" w:rsidRDefault="003B5748" w:rsidP="003B5748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年上半年，本行汽车金融贷款新发放额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684.00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亿元，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月末本行汽车金融贷款余额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1,658.02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亿元，较上年末降幅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3.6%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。在汽车消费市场整体增速放缓的趋势下，本行持续依托科技赋能，通过产品创新、流程优化、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AI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智能化等多项举措，深耕车生态经营策略，不断提升客户体验和服务效率。</w:t>
            </w:r>
            <w:r>
              <w:rPr>
                <w:rFonts w:ascii="Arial" w:eastAsia="华文细黑" w:hAnsi="Arial" w:hint="eastAsia"/>
                <w:bCs/>
                <w:sz w:val="21"/>
                <w:szCs w:val="21"/>
              </w:rPr>
              <w:t>另一方面，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本行也积极推动转型，推进二手车业务发展。</w:t>
            </w:r>
          </w:p>
          <w:p w:rsidR="003B5748" w:rsidRDefault="003B5748" w:rsidP="005B3BAE">
            <w:pPr>
              <w:adjustRightInd w:val="0"/>
              <w:snapToGrid w:val="0"/>
              <w:rPr>
                <w:rFonts w:ascii="Arial" w:eastAsia="华文细黑" w:hAnsi="Arial" w:hint="eastAsia"/>
                <w:sz w:val="21"/>
                <w:szCs w:val="21"/>
              </w:rPr>
            </w:pPr>
          </w:p>
          <w:p w:rsidR="008B60BD" w:rsidRDefault="008B60BD" w:rsidP="008B60BD">
            <w:pPr>
              <w:pStyle w:val="3"/>
              <w:rPr>
                <w:rFonts w:ascii="Arial" w:eastAsia="华文细黑" w:hAnsi="Arial" w:hint="eastAsia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按揭业务情况？</w:t>
            </w:r>
          </w:p>
          <w:p w:rsidR="008B60BD" w:rsidRPr="008B60BD" w:rsidRDefault="008B60BD" w:rsidP="008B60BD">
            <w:pPr>
              <w:ind w:firstLineChars="200" w:firstLine="420"/>
              <w:rPr>
                <w:rFonts w:ascii="Arial" w:eastAsia="华文细黑" w:hAnsi="Arial" w:hint="eastAsia"/>
                <w:bCs/>
                <w:sz w:val="21"/>
                <w:szCs w:val="21"/>
              </w:rPr>
            </w:pP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月末，本行住房按揭贷款余额</w:t>
            </w: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1,879.98</w:t>
            </w: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亿元，较上年末增长</w:t>
            </w: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3.1%</w:t>
            </w:r>
            <w:r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。本行严格落实国家政策规定和监管要求，支持居民家庭首套自住购房需求，并将继续在合规和符合监管要求的前提下稳步开展住房信贷业务。</w:t>
            </w:r>
          </w:p>
          <w:p w:rsidR="008B60BD" w:rsidRPr="00C87159" w:rsidRDefault="008B60BD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3B5748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9" w:name="_Toc496018961"/>
            <w:r w:rsidRPr="00FF51E3">
              <w:rPr>
                <w:rFonts w:hint="eastAsia"/>
                <w:color w:val="000000" w:themeColor="text1"/>
                <w:szCs w:val="24"/>
              </w:rPr>
              <w:t>不良贷款偏离度已经下降到</w:t>
            </w:r>
            <w:r w:rsidRPr="00FF51E3">
              <w:rPr>
                <w:color w:val="000000" w:themeColor="text1"/>
                <w:szCs w:val="24"/>
              </w:rPr>
              <w:t>1</w:t>
            </w:r>
            <w:r w:rsidRPr="00FF51E3">
              <w:rPr>
                <w:rFonts w:hint="eastAsia"/>
                <w:color w:val="000000" w:themeColor="text1"/>
                <w:szCs w:val="24"/>
              </w:rPr>
              <w:t>以下，是否意味着历史包袱已经消化完？</w:t>
            </w:r>
          </w:p>
          <w:p w:rsidR="00631CC9" w:rsidRDefault="00631CC9" w:rsidP="008B60BD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本行坚持资产质量为第一生命线理念，积极采取各种措施提升风险防控能力，同时借助大</w:t>
            </w:r>
            <w:bookmarkStart w:id="10" w:name="_GoBack"/>
            <w:bookmarkEnd w:id="10"/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数据、人工智能等技术，提升智能风控水平，</w:t>
            </w:r>
            <w:r w:rsidR="008B60BD" w:rsidRPr="008B60BD">
              <w:rPr>
                <w:rFonts w:ascii="Arial" w:eastAsia="华文细黑" w:hAnsi="Arial" w:hint="eastAsia"/>
                <w:bCs/>
                <w:sz w:val="21"/>
                <w:szCs w:val="21"/>
              </w:rPr>
              <w:t>资产质量水平回归行业正常水平，为我行转型发展、轻装前行奠定了良好基础。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E00681" w:rsidRPr="00A1521F" w:rsidRDefault="00631CC9" w:rsidP="008B60BD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月末，本行主要资产质量指标进一步改善。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偏离度于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2018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年末下降到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1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以下，提前一年达标，从历史高位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2.78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下降到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2019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年上半年末</w:t>
            </w:r>
            <w:r w:rsidR="003B5748" w:rsidRPr="003B5748">
              <w:rPr>
                <w:rFonts w:ascii="Arial" w:eastAsia="华文细黑" w:hAnsi="Arial"/>
                <w:bCs/>
                <w:sz w:val="21"/>
                <w:szCs w:val="21"/>
              </w:rPr>
              <w:t>0.94</w:t>
            </w:r>
            <w:r w:rsidR="003B5748" w:rsidRPr="003B5748">
              <w:rPr>
                <w:rFonts w:ascii="Arial" w:eastAsia="华文细黑" w:hAnsi="Arial" w:hint="eastAsia"/>
                <w:bCs/>
                <w:sz w:val="21"/>
                <w:szCs w:val="21"/>
              </w:rPr>
              <w:t>，难度非常之大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，降幅显著</w:t>
            </w:r>
            <w:r w:rsidR="00A1521F" w:rsidRPr="00A1521F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bookmarkEnd w:id="0"/>
          <w:bookmarkEnd w:id="1"/>
          <w:bookmarkEnd w:id="2"/>
          <w:bookmarkEnd w:id="9"/>
          <w:p w:rsidR="00AA5A95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 w:hint="eastAsia"/>
                <w:sz w:val="21"/>
                <w:szCs w:val="21"/>
                <w:lang w:eastAsia="zh-CN"/>
              </w:rPr>
            </w:pPr>
          </w:p>
          <w:p w:rsidR="003B5748" w:rsidRPr="00CA0689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拨备</w:t>
            </w:r>
            <w:r>
              <w:rPr>
                <w:rFonts w:ascii="Arial" w:eastAsia="华文细黑" w:hAnsi="Arial" w:hint="eastAsia"/>
                <w:sz w:val="21"/>
              </w:rPr>
              <w:t>计提及</w:t>
            </w:r>
            <w:r w:rsidRPr="009E293D">
              <w:rPr>
                <w:rFonts w:ascii="Arial" w:eastAsia="华文细黑" w:hAnsi="Arial" w:hint="eastAsia"/>
                <w:sz w:val="21"/>
              </w:rPr>
              <w:t>覆盖率</w:t>
            </w:r>
            <w:r>
              <w:rPr>
                <w:rFonts w:ascii="Arial" w:eastAsia="华文细黑" w:hAnsi="Arial" w:hint="eastAsia"/>
                <w:sz w:val="21"/>
              </w:rPr>
              <w:t>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3B5748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月末，全行拨备覆盖率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182.53%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27.29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个百分点，拨贷比为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3.06%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0.35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个百分点；逾期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90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天以上贷款拨备覆盖率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194.37%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34.92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个百分点，风险抵补能力进一步增强。</w:t>
            </w:r>
          </w:p>
          <w:p w:rsidR="003B5748" w:rsidRPr="00CA0689" w:rsidRDefault="003B5748" w:rsidP="003B5748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本行持续加大拨备计提和核销力度，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2016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至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月末，本行累计计提信用及其他资产减值损失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1,645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亿元，其中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年上半年新增计提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272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亿元，同比增加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49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亿元；累计核销贷款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1,363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亿元，其中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年上半年核销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213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亿元，同比增加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12</w:t>
            </w:r>
            <w:r w:rsidRPr="00631CC9">
              <w:rPr>
                <w:rFonts w:ascii="Arial" w:eastAsia="华文细黑" w:hAnsi="Arial" w:hint="eastAsia"/>
                <w:sz w:val="21"/>
                <w:szCs w:val="21"/>
              </w:rPr>
              <w:t>亿元。</w:t>
            </w:r>
          </w:p>
          <w:p w:rsidR="003B5748" w:rsidRDefault="003B5748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DD684A" w:rsidRPr="00CA0689" w:rsidRDefault="00DD684A" w:rsidP="00DD684A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分行和网点的发展情况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DD684A" w:rsidRDefault="00DD684A" w:rsidP="00DD684A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cs="Arial"/>
                <w:bCs/>
                <w:sz w:val="21"/>
                <w:szCs w:val="21"/>
              </w:rPr>
            </w:pP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本行持续实施网点智能化建设，合理配置网点布局，截至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201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9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年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6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月末，本行有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84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家分行、共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1,0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5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3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家营业机构</w:t>
            </w:r>
            <w:r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。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本行持续复制推广“轻型化、社区化、智能化、多元化”的零售新门店，全国已开业</w:t>
            </w:r>
            <w:r w:rsidRPr="00074B2A">
              <w:rPr>
                <w:rFonts w:ascii="Arial" w:eastAsia="华文细黑" w:hAnsi="Arial" w:cs="Arial"/>
                <w:bCs/>
                <w:sz w:val="21"/>
                <w:szCs w:val="21"/>
              </w:rPr>
              <w:t>211</w:t>
            </w:r>
            <w:r w:rsidRPr="00074B2A">
              <w:rPr>
                <w:rFonts w:ascii="Arial" w:eastAsia="华文细黑" w:hAnsi="Arial" w:cs="Arial" w:hint="eastAsia"/>
                <w:bCs/>
                <w:sz w:val="21"/>
                <w:szCs w:val="21"/>
              </w:rPr>
              <w:t>家新门店。</w:t>
            </w:r>
          </w:p>
          <w:p w:rsidR="00E00681" w:rsidRDefault="00E00681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 w:hint="eastAsia"/>
                <w:sz w:val="21"/>
                <w:szCs w:val="21"/>
                <w:lang w:val="en-US" w:eastAsia="zh-CN"/>
              </w:rPr>
            </w:pPr>
          </w:p>
          <w:p w:rsidR="003B5748" w:rsidRPr="00E459CC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E459CC">
              <w:rPr>
                <w:rFonts w:ascii="Arial" w:eastAsia="华文细黑" w:hAnsi="Arial" w:hint="eastAsia"/>
                <w:sz w:val="21"/>
              </w:rPr>
              <w:t>请问</w:t>
            </w:r>
            <w:r w:rsidRPr="00E459CC">
              <w:rPr>
                <w:rFonts w:ascii="Arial" w:eastAsia="华文细黑" w:hAnsi="Arial" w:hint="eastAsia"/>
                <w:sz w:val="21"/>
              </w:rPr>
              <w:t>2019</w:t>
            </w:r>
            <w:r w:rsidRPr="00E459CC">
              <w:rPr>
                <w:rFonts w:ascii="Arial" w:eastAsia="华文细黑" w:hAnsi="Arial" w:hint="eastAsia"/>
                <w:sz w:val="21"/>
              </w:rPr>
              <w:t>年上半年清收效果？怎么做到的？全年是否可以延续去年趋势？</w:t>
            </w:r>
          </w:p>
          <w:p w:rsidR="003B5748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E459CC">
              <w:rPr>
                <w:rFonts w:ascii="Arial" w:eastAsia="华文细黑" w:hAnsi="Arial"/>
                <w:sz w:val="21"/>
                <w:szCs w:val="21"/>
              </w:rPr>
              <w:t>2019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年上半年，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我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行收回不良资产总额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13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8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亿元、同比增长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，其中信贷资产（贷款本金）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128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亿元；收回的贷款本金中，已核销贷款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76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亿元，未核销不良贷款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5</w:t>
            </w:r>
            <w:r w:rsidRPr="00E459CC"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亿元；不良资产收回额中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88%</w:t>
            </w:r>
            <w:r w:rsidRPr="00E459CC">
              <w:rPr>
                <w:rFonts w:ascii="Arial" w:eastAsia="华文细黑" w:hAnsi="Arial"/>
                <w:sz w:val="21"/>
                <w:szCs w:val="21"/>
              </w:rPr>
              <w:t>为现金收回，其余为以物抵债等方式收回。</w:t>
            </w:r>
          </w:p>
          <w:p w:rsidR="003B5748" w:rsidRDefault="003B5748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3B5748" w:rsidRPr="00631CC9" w:rsidRDefault="003B5748" w:rsidP="003B5748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631CC9">
              <w:rPr>
                <w:rFonts w:ascii="Arial" w:eastAsia="华文细黑" w:hAnsi="Arial" w:hint="eastAsia"/>
                <w:sz w:val="21"/>
              </w:rPr>
              <w:t>科技的投入和成果如何？</w:t>
            </w:r>
          </w:p>
          <w:p w:rsidR="003B5748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本行将“科技引领”作为全行首要发展战略方针。科技投入方面，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年，本行科技投入大幅增加，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资本性支出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25.75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亿元、同比增长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82%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3B5748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科技治理方面，本行制定了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IT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三年（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2019-2021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）发展规划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3B5748" w:rsidRDefault="003B5748" w:rsidP="003B5748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科技创新方面，依托平安集团在人工智能、区块链、云计算等领域的核心技术和资源，利用新技术赋能业务，持续提升客户体验、丰富金融产品、创新业务模式、完善风控体系、优化运营效率、促进智慧管理。“科技引领”推动战略转型已初见成效。</w:t>
            </w:r>
          </w:p>
          <w:bookmarkEnd w:id="3"/>
          <w:bookmarkEnd w:id="4"/>
          <w:bookmarkEnd w:id="5"/>
          <w:bookmarkEnd w:id="6"/>
          <w:bookmarkEnd w:id="7"/>
          <w:bookmarkEnd w:id="8"/>
          <w:p w:rsidR="008B3EDE" w:rsidRPr="00DD684A" w:rsidRDefault="008B3EDE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631CC9" w:rsidRPr="00CA0689" w:rsidRDefault="00631CC9" w:rsidP="00631CC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631CC9" w:rsidRDefault="00631CC9" w:rsidP="00631CC9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本行通过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（客户介绍客户）模式开展综合金融业务。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年上半年，本行通过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模式获客（不含信用卡）净增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132.78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万户，占零售整体净增客户（不含信用卡）的比例为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30.8%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，其中财富客户净增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4.90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万户，占整体净增财富客户的比例为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38.3%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；管理零售客户资产（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AUM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）余额净增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1,257.60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亿元，占零售整体净增客户资产余额的比例为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37.2%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模式发放“新一贷”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292.10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亿元，占“新一贷”整体发放的比例为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55.6%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；发放汽融贷款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251.03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亿元，占汽融贷款整体发放的比例为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36.7%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。信用卡通过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MGM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模式发卡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222.48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万张，在新增发卡量中占比为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32.3%</w:t>
            </w:r>
            <w:r w:rsidRPr="00631CC9">
              <w:rPr>
                <w:rFonts w:ascii="Arial" w:eastAsia="华文细黑" w:hAnsi="Arial" w:hint="eastAsia"/>
                <w:bCs/>
                <w:sz w:val="21"/>
                <w:szCs w:val="21"/>
              </w:rPr>
              <w:t>。</w:t>
            </w:r>
          </w:p>
          <w:p w:rsidR="005E33CA" w:rsidRPr="00A115A1" w:rsidRDefault="005E33CA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631CC9" w:rsidRDefault="00A115A1" w:rsidP="00631CC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631CC9">
              <w:rPr>
                <w:rFonts w:ascii="Arial" w:eastAsia="华文细黑" w:hAnsi="Arial" w:hint="eastAsia"/>
                <w:sz w:val="21"/>
              </w:rPr>
              <w:t>贵行发行可转债后，资本充足率情况？</w:t>
            </w:r>
          </w:p>
          <w:p w:rsidR="00DD684A" w:rsidRPr="00DD684A" w:rsidRDefault="00DD684A" w:rsidP="00DD684A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6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月末，本行核心一级资本充足率、一级资本充足率及资本充足率分别为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8.89%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9.71%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及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12.62%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，均满足监管达标要求。其中，核心一级资本充足率、一级资本充足率及资本充足率较上年末分别提高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0.35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、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0.32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及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1.12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个百分点。</w:t>
            </w:r>
          </w:p>
          <w:p w:rsidR="00A115A1" w:rsidRDefault="00DD684A" w:rsidP="00DD684A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本行在通过利润留存补充资本的基础上，积极拓展外源性资本补充渠道，持续推进资本工具的发行工作。本行已于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1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25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日完成发行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260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亿元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A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股可转换公司债券，转股后将有效补充本行核心一级资本；并于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2019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年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4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月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25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日在全国银行间债券市场公开发行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300</w:t>
            </w:r>
            <w:r w:rsidRPr="00DD684A">
              <w:rPr>
                <w:rFonts w:ascii="Arial" w:eastAsia="华文细黑" w:hAnsi="Arial" w:hint="eastAsia"/>
                <w:bCs/>
                <w:sz w:val="21"/>
                <w:szCs w:val="21"/>
              </w:rPr>
              <w:t>亿元人民币二级资本债券，进一步提高资本充足水平。</w:t>
            </w:r>
          </w:p>
          <w:p w:rsidR="00DD684A" w:rsidRDefault="00DD684A" w:rsidP="00DD684A">
            <w:pPr>
              <w:ind w:firstLineChars="200" w:firstLine="420"/>
              <w:rPr>
                <w:rFonts w:ascii="Arial" w:eastAsia="华文细黑" w:hAnsi="Arial"/>
                <w:bCs/>
                <w:sz w:val="21"/>
                <w:szCs w:val="21"/>
              </w:rPr>
            </w:pPr>
          </w:p>
          <w:p w:rsidR="003B5748" w:rsidRPr="00226184" w:rsidRDefault="003B5748" w:rsidP="003B5748">
            <w:pPr>
              <w:pStyle w:val="3"/>
              <w:rPr>
                <w:rFonts w:ascii="Arial" w:eastAsia="华文细黑" w:hAnsi="Arial"/>
                <w:sz w:val="21"/>
              </w:rPr>
            </w:pPr>
            <w:r w:rsidRPr="00226184">
              <w:rPr>
                <w:rFonts w:ascii="Arial" w:eastAsia="华文细黑" w:hAnsi="Arial" w:hint="eastAsia"/>
                <w:sz w:val="21"/>
              </w:rPr>
              <w:t>转股期及强制赎回条款是什么？</w:t>
            </w:r>
          </w:p>
          <w:p w:rsidR="003B5748" w:rsidRPr="00226184" w:rsidRDefault="003B5748" w:rsidP="003B5748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我行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2019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7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日进入转股期，转股价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11.63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元，强制赎回价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13.96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元。</w:t>
            </w:r>
          </w:p>
          <w:p w:rsidR="003B5748" w:rsidRPr="00226184" w:rsidRDefault="003B5748" w:rsidP="003B5748">
            <w:pPr>
              <w:adjustRightInd w:val="0"/>
              <w:snapToGrid w:val="0"/>
              <w:ind w:firstLineChars="150" w:firstLine="315"/>
              <w:rPr>
                <w:rFonts w:ascii="Arial" w:eastAsia="华文细黑" w:hAnsi="Arial"/>
                <w:sz w:val="21"/>
                <w:szCs w:val="21"/>
              </w:rPr>
            </w:pP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进入转股期以后，如果平安银行股价连续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30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个交易日中有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15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个交易日的收盘价高于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13.96</w:t>
            </w:r>
            <w:r w:rsidRPr="00226184">
              <w:rPr>
                <w:rFonts w:ascii="Arial" w:eastAsia="华文细黑" w:hAnsi="Arial" w:hint="eastAsia"/>
                <w:sz w:val="21"/>
                <w:szCs w:val="21"/>
              </w:rPr>
              <w:t>元，则可以通过强制赎回集中进行转股（对于未转股的投资者，我行将有权按照债券面值加当期应计利息的价格，强制赎回可转债）。</w:t>
            </w: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631CC9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DD7DFF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中期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="006B0B04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350C6" w:rsidP="003450A0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450A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3075A1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="003450A0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C5" w:rsidRDefault="00D926C5" w:rsidP="00D96584">
      <w:r>
        <w:separator/>
      </w:r>
    </w:p>
  </w:endnote>
  <w:endnote w:type="continuationSeparator" w:id="0">
    <w:p w:rsidR="00D926C5" w:rsidRDefault="00D926C5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C5" w:rsidRDefault="00D926C5" w:rsidP="00D96584">
      <w:r>
        <w:separator/>
      </w:r>
    </w:p>
  </w:footnote>
  <w:footnote w:type="continuationSeparator" w:id="0">
    <w:p w:rsidR="00D926C5" w:rsidRDefault="00D926C5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13"/>
  </w:num>
  <w:num w:numId="45">
    <w:abstractNumId w:val="13"/>
  </w:num>
  <w:num w:numId="46">
    <w:abstractNumId w:val="1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82013"/>
    <w:rsid w:val="00083D6A"/>
    <w:rsid w:val="000A2DF8"/>
    <w:rsid w:val="000B3693"/>
    <w:rsid w:val="000B41B6"/>
    <w:rsid w:val="00101C48"/>
    <w:rsid w:val="00130F3C"/>
    <w:rsid w:val="001362E7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27050"/>
    <w:rsid w:val="002515C0"/>
    <w:rsid w:val="002721F3"/>
    <w:rsid w:val="00276DAA"/>
    <w:rsid w:val="002B200E"/>
    <w:rsid w:val="002B4EAA"/>
    <w:rsid w:val="002B5D00"/>
    <w:rsid w:val="002F1CBE"/>
    <w:rsid w:val="003075A1"/>
    <w:rsid w:val="003317E5"/>
    <w:rsid w:val="0034241B"/>
    <w:rsid w:val="003450A0"/>
    <w:rsid w:val="00354883"/>
    <w:rsid w:val="00375010"/>
    <w:rsid w:val="003777D5"/>
    <w:rsid w:val="003B107D"/>
    <w:rsid w:val="003B5748"/>
    <w:rsid w:val="003B721F"/>
    <w:rsid w:val="003C375D"/>
    <w:rsid w:val="003C42A4"/>
    <w:rsid w:val="003F144D"/>
    <w:rsid w:val="003F79D6"/>
    <w:rsid w:val="00413B4B"/>
    <w:rsid w:val="0043629D"/>
    <w:rsid w:val="00442349"/>
    <w:rsid w:val="0045059E"/>
    <w:rsid w:val="00461C9C"/>
    <w:rsid w:val="00471475"/>
    <w:rsid w:val="0049405C"/>
    <w:rsid w:val="00497C7E"/>
    <w:rsid w:val="004B47B1"/>
    <w:rsid w:val="004F6F03"/>
    <w:rsid w:val="00511122"/>
    <w:rsid w:val="0051123B"/>
    <w:rsid w:val="0051176B"/>
    <w:rsid w:val="00535D6F"/>
    <w:rsid w:val="005464C3"/>
    <w:rsid w:val="00550FD9"/>
    <w:rsid w:val="005B3BAE"/>
    <w:rsid w:val="005E33CA"/>
    <w:rsid w:val="00622C3A"/>
    <w:rsid w:val="00623A26"/>
    <w:rsid w:val="00631CC9"/>
    <w:rsid w:val="0063326E"/>
    <w:rsid w:val="006350C6"/>
    <w:rsid w:val="00684A13"/>
    <w:rsid w:val="006A1753"/>
    <w:rsid w:val="006A7B25"/>
    <w:rsid w:val="006B0B04"/>
    <w:rsid w:val="006C5210"/>
    <w:rsid w:val="006E4D55"/>
    <w:rsid w:val="006F64B3"/>
    <w:rsid w:val="00740C1A"/>
    <w:rsid w:val="00761259"/>
    <w:rsid w:val="00777BC7"/>
    <w:rsid w:val="00793203"/>
    <w:rsid w:val="007C213F"/>
    <w:rsid w:val="00803207"/>
    <w:rsid w:val="008132CB"/>
    <w:rsid w:val="0082259D"/>
    <w:rsid w:val="008439B9"/>
    <w:rsid w:val="00845B88"/>
    <w:rsid w:val="00853994"/>
    <w:rsid w:val="00862CF2"/>
    <w:rsid w:val="008710F9"/>
    <w:rsid w:val="00880699"/>
    <w:rsid w:val="0089673B"/>
    <w:rsid w:val="008A4E3E"/>
    <w:rsid w:val="008B3EDE"/>
    <w:rsid w:val="008B60BD"/>
    <w:rsid w:val="008C111F"/>
    <w:rsid w:val="008F16A2"/>
    <w:rsid w:val="00921892"/>
    <w:rsid w:val="00930952"/>
    <w:rsid w:val="00941F1C"/>
    <w:rsid w:val="00951547"/>
    <w:rsid w:val="009C4894"/>
    <w:rsid w:val="009C5679"/>
    <w:rsid w:val="009E293D"/>
    <w:rsid w:val="009F13CD"/>
    <w:rsid w:val="00A06B39"/>
    <w:rsid w:val="00A115A1"/>
    <w:rsid w:val="00A140B8"/>
    <w:rsid w:val="00A1521F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0CA5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26C5"/>
    <w:rsid w:val="00D96584"/>
    <w:rsid w:val="00DC7C3C"/>
    <w:rsid w:val="00DD1E65"/>
    <w:rsid w:val="00DD684A"/>
    <w:rsid w:val="00DD7DFF"/>
    <w:rsid w:val="00DE4B3F"/>
    <w:rsid w:val="00E00681"/>
    <w:rsid w:val="00E055AC"/>
    <w:rsid w:val="00E1525A"/>
    <w:rsid w:val="00E37317"/>
    <w:rsid w:val="00E50C4A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716</Words>
  <Characters>4083</Characters>
  <Application>Microsoft Office Word</Application>
  <DocSecurity>0</DocSecurity>
  <Lines>34</Lines>
  <Paragraphs>9</Paragraphs>
  <ScaleCrop>false</ScaleCrop>
  <Company>sdb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7</cp:revision>
  <dcterms:created xsi:type="dcterms:W3CDTF">2019-10-14T10:39:00Z</dcterms:created>
  <dcterms:modified xsi:type="dcterms:W3CDTF">2019-10-17T10:40:00Z</dcterms:modified>
</cp:coreProperties>
</file>