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  <w:sz w:val="24"/>
        </w:rPr>
        <w:t>证券代码：300098</w:t>
      </w:r>
      <w:r>
        <w:rPr>
          <w:rFonts w:hint="eastAsia" w:ascii="Times New Roman" w:hAnsi="Times New Roman"/>
          <w:bCs/>
          <w:iCs/>
          <w:color w:val="000000"/>
          <w:sz w:val="24"/>
        </w:rPr>
        <w:t xml:space="preserve">                                     </w:t>
      </w:r>
      <w:r>
        <w:rPr>
          <w:rFonts w:ascii="Times New Roman" w:hAnsi="Times New Roman"/>
          <w:bCs/>
          <w:iCs/>
          <w:color w:val="000000"/>
          <w:sz w:val="24"/>
        </w:rPr>
        <w:t>证券简称：高新兴</w:t>
      </w:r>
    </w:p>
    <w:p>
      <w:pPr>
        <w:spacing w:before="312" w:beforeLines="100"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高新兴科技集团股份有限公司</w:t>
      </w:r>
    </w:p>
    <w:p>
      <w:pPr>
        <w:spacing w:after="312" w:afterLines="100"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投资者关系活动记录表</w:t>
      </w:r>
    </w:p>
    <w:p>
      <w:pPr>
        <w:spacing w:line="400" w:lineRule="exact"/>
        <w:jc w:val="right"/>
        <w:rPr>
          <w:rFonts w:ascii="Times New Roman" w:hAnsi="Times New Roman"/>
          <w:bCs/>
          <w:iCs/>
          <w:color w:val="000000"/>
          <w:sz w:val="24"/>
        </w:rPr>
      </w:pPr>
      <w:r>
        <w:rPr>
          <w:rFonts w:ascii="Times New Roman" w:hAnsi="Times New Roman"/>
          <w:bCs/>
          <w:iCs/>
          <w:color w:val="000000"/>
          <w:sz w:val="24"/>
        </w:rPr>
        <w:t>编号：201900</w:t>
      </w:r>
      <w:r>
        <w:rPr>
          <w:rFonts w:hint="eastAsia" w:ascii="Times New Roman" w:hAnsi="Times New Roman"/>
          <w:bCs/>
          <w:iCs/>
          <w:color w:val="000000"/>
          <w:sz w:val="24"/>
        </w:rPr>
        <w:t>8</w:t>
      </w:r>
    </w:p>
    <w:tbl>
      <w:tblPr>
        <w:tblStyle w:val="8"/>
        <w:tblW w:w="82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490"/>
        <w:gridCol w:w="6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特定对象调研</w:t>
            </w:r>
            <w:r>
              <w:rPr>
                <w:rFonts w:hint="eastAsia" w:ascii="Times New Roman" w:hAnsi="Times New Roman"/>
                <w:szCs w:val="21"/>
              </w:rPr>
              <w:t xml:space="preserve">   </w:t>
            </w: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分析师会议</w:t>
            </w:r>
          </w:p>
          <w:p>
            <w:pPr>
              <w:spacing w:line="360" w:lineRule="auto"/>
              <w:ind w:left="210" w:leftChars="10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媒体采访</w:t>
            </w:r>
            <w:r>
              <w:rPr>
                <w:rFonts w:hint="eastAsia"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sym w:font="Wingdings 2" w:char="0052"/>
            </w:r>
            <w:r>
              <w:rPr>
                <w:rFonts w:ascii="Times New Roman" w:hAnsi="Times New Roman"/>
                <w:szCs w:val="21"/>
              </w:rPr>
              <w:t>业绩说明会</w:t>
            </w:r>
          </w:p>
          <w:p>
            <w:pPr>
              <w:spacing w:line="360" w:lineRule="auto"/>
              <w:ind w:left="210" w:leftChars="10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新闻发布会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路演活动</w:t>
            </w:r>
          </w:p>
          <w:p>
            <w:pPr>
              <w:tabs>
                <w:tab w:val="left" w:pos="2445"/>
                <w:tab w:val="center" w:pos="3199"/>
              </w:tabs>
              <w:spacing w:line="360" w:lineRule="auto"/>
              <w:ind w:left="210" w:leftChars="10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现场参观</w:t>
            </w:r>
            <w:r>
              <w:rPr>
                <w:rFonts w:hint="eastAsia"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10" w:leftChars="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参与单位名称</w:t>
            </w: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6805" w:type="dxa"/>
              <w:tblInd w:w="-108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451"/>
              <w:gridCol w:w="3354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安信证券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招商银行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安信资管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招商证券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帝王鱼（厦门）资产管理有限公司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招银国际金融有限公司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东方证券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上海甄投资产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东吴证券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中国人寿资产管理有限公司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东兴证券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中集集团产业基金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方正证券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中金公司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富利达资产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中泰证券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广发证券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中天国富证券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广州泰泽投资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中信建投证券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国金证券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中兴基金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国盛证券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中银国际证券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国投瑞银基金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重庆博永投资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海通证券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IGWT Investment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函数资本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北京擎天普瑞明投资管理有限公司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鸿嘉基金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富安达基金管理有限公司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湖南</w:t>
                  </w:r>
                  <w:r>
                    <w:rPr>
                      <w:rFonts w:hint="eastAsia" w:ascii="Arial" w:hAnsi="Arial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三</w:t>
                  </w: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湘银行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贵州长征天成控股股份有限公司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华创证券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上海务聚投资管理合伙企业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华夏基金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上海中金资本投资有限公司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金元证券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深圳和聚投资有限公司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君牧资本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深圳市壹达资产管理有限公司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摩根大通投资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泰达宏利基金管理有限公司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群益证券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兴业证券股份有限公司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三井住友资产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深圳市善道投资管理有限公司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深圳重器资产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深圳茂源财富管理有限公司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天风证券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上海磐珺投资管理中心（有限合伙）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万联证券</w:t>
                  </w:r>
                </w:p>
              </w:tc>
              <w:tc>
                <w:tcPr>
                  <w:tcW w:w="33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深圳市榕树投资管理有限公司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5" w:hRule="atLeast"/>
              </w:trPr>
              <w:tc>
                <w:tcPr>
                  <w:tcW w:w="34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Arial" w:hAnsi="Arial" w:cs="Arial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圆石投资</w:t>
                  </w:r>
                </w:p>
              </w:tc>
              <w:tc>
                <w:tcPr>
                  <w:tcW w:w="3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default" w:ascii="Arial" w:hAnsi="Arial" w:eastAsia="宋体" w:cs="Arial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</w:p>
              </w:tc>
            </w:tr>
          </w:tbl>
          <w:p>
            <w:pPr>
              <w:spacing w:line="360" w:lineRule="auto"/>
              <w:ind w:left="210" w:leftChars="10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时间及地点</w:t>
            </w: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活动名称：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高新兴2019年三季报机构交流电话会议</w:t>
            </w:r>
          </w:p>
          <w:p>
            <w:pPr>
              <w:ind w:left="210" w:leftChars="10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时间：2019年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10</w:t>
            </w: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月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30</w:t>
            </w: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日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15:00-16:00</w:t>
            </w:r>
          </w:p>
          <w:p>
            <w:pPr>
              <w:ind w:left="210" w:leftChars="10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地点：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线上电话会议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高新兴科技集团：</w:t>
            </w:r>
          </w:p>
          <w:p>
            <w:pPr>
              <w:ind w:left="210" w:leftChars="10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执行副总裁、董秘</w:t>
            </w: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陈婧；财务副总监</w:t>
            </w: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</w:rPr>
              <w:t>王涛、财务管理部副总监 刘宇斌；证券事务代表 黄璨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6" w:hRule="atLeast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投资者关系活动主要内容</w:t>
            </w:r>
          </w:p>
        </w:tc>
        <w:tc>
          <w:tcPr>
            <w:tcW w:w="6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业绩介绍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2019年前三季度实现营业收入216,311.42万元，归属于上市公司普通股股东的净利润为6,072.29万元，较上年同期均有所下降。公司研发投入为39,387万元，较上年同期增长40.74%。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2019年宏观经济环境更趋严峻复杂，受中美贸易战及国内外经济下行的影响，业绩增速有所下降。公司目前处于转型关键期，2019年度持续聚焦车联网和公安执法规范化两大业务主航道，围绕两大业务加强相关技术和产品研发投入，打造核心竞争力，持续积淀、提升技术和产品能力，研发投入持续增长。同时强化管理能力，优化集团化管理人才队伍，完善职能管理平台系统；延伸销售体系触角，深化公安市场销售体系部-省-市-区级布局，车联网市场国际国内市场两手抓，导致管理费用及销售费用较去年同期有所增长。</w:t>
            </w:r>
          </w:p>
          <w:p>
            <w:pPr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  <w:t>财报解读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="845"/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  <w:t>公司前三季度营收及归属于上市公司股东</w:t>
            </w:r>
            <w:r>
              <w:rPr>
                <w:rFonts w:hint="eastAsia" w:ascii="Times New Roman" w:hAnsi="Times New Roman" w:cs="Times New Roman"/>
                <w:b/>
                <w:iCs/>
                <w:color w:val="000000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  <w:t>净利润情况分析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2019年受宏观经济环境影响，公司部分业务板块都承受了一定的压力。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eastAsia" w:ascii="Times New Roman" w:hAnsi="Times New Roman" w:eastAsia="宋体" w:cs="Times New Roman"/>
                <w:bCs/>
                <w:i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首先，软件系统及解决方案即集成业务结构正从PPP项目、BOT项目向BT项目切换，公司对平安城市等集成业务项目的挑选上选择更加优质的项目，更加看重回款、利润及项目标杆意义等指标，一定程度上影响集团整体营收情况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公司坚持重点聚焦车联网和公安执法规范化两大业务主航道。公司车联网业务，在集团业务整体承压的情况下，收入规模较去年同期仍保持增长，车联网产品毛利率保持稳定。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eastAsia" w:ascii="Times New Roman" w:hAnsi="Times New Roman" w:eastAsia="宋体" w:cs="Times New Roman"/>
                <w:bCs/>
                <w:i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国际业务及国内业务都保持着较好的发展态势，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公司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不断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开拓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国内与国外客户及销售市场，积极跟进国家车联网战略进行技术研发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并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参与推进相关行业标准的制订，大力投入研发，彰显公司在车联网领域发展的信心与决心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对于公安业务，公司今年参与了70周年国庆阅兵期间各项安保工作，该类项目主要旨在打造公司优质的行业品牌形象，在公安客户体系内扩大影响力，直接产生业绩贡献有限，其他公安业务进度受此影响有部分</w:t>
            </w:r>
            <w:r>
              <w:rPr>
                <w:rFonts w:hint="eastAsia" w:ascii="Times New Roman" w:hAnsi="Times New Roman" w:cs="Times New Roman"/>
                <w:szCs w:val="21"/>
                <w:highlight w:val="none"/>
                <w:lang w:eastAsia="zh-CN"/>
              </w:rPr>
              <w:t>延后</w:t>
            </w:r>
            <w:r>
              <w:rPr>
                <w:rFonts w:hint="default" w:ascii="Times New Roman" w:hAnsi="Times New Roman" w:eastAsia="宋体" w:cs="Times New Roman"/>
                <w:szCs w:val="21"/>
                <w:highlight w:val="none"/>
              </w:rPr>
              <w:t>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其次，针对中美两国关系影响，公司在积极准备应对措施，寻求供应链切换方式，不断完善公司海外供应链布局，过程中会带来一部分费用增长，影响公司毛利率水平。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目前，印度工厂已完成商务谈判及合作协议签署，并完成生产测试系统及相关硬件设备搭建，即将正式投入批量生产；海外售后服务能力不断提升，在保持原有国际售后渠道紧密合作的同时，在北美地区开拓新的车联网市场售后合作渠道，确保对北美高端客户的快速响应与服务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第三，由于铁路总公司组织结构变化导致很多招标项目延后，也对创联公司营收产生影响；随着铁总组织结构变动完成，相关情况将会得到改善，同时创联研发实力不断提升，部分产品已通过国际最高安全等级SIL4认证，未来会继续拓展客户，扩大销售市场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今年前三季度研发、销售、管理、财务费用合计占营业收入比重达到27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val="en-US" w:eastAsia="zh-CN"/>
              </w:rPr>
              <w:t>.52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%，但费用的投入效果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将在明年开始逐渐显现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，我们将进一步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聚焦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资源到研发费用。</w:t>
            </w:r>
          </w:p>
          <w:p>
            <w:pPr>
              <w:numPr>
                <w:ilvl w:val="0"/>
                <w:numId w:val="2"/>
              </w:numPr>
              <w:ind w:left="845"/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  <w:t>研发费用、销售费用、管理费用增长的原因？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由于今年公司采取比较积极的扩张政策，对年初制定的高营收目标进行费用匹配，销售费用、管理费用和研发费用都有所增长。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今年前三季度研发、销售、管理、财务费用合计占营业收入比重达到27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val="en-US" w:eastAsia="zh-CN"/>
              </w:rPr>
              <w:t>.52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%，去年同期占比为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  <w:highlight w:val="none"/>
              </w:rPr>
              <w:t>19.8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highlight w:val="none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%，公司高度重视研发，研发投入持续增加，研发人员工资增加，研发费用增长较多。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同时公司为强化管理能力，优化集团化管理人才队伍，完善职能管理平台系统，进行管理组织变革，管理人员人数增加，管理费用增长。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在销售费用上，深化公安市场销售体系部-省-市-区级布局，延伸销售体系触角，车联网市场国际国内市场两手抓，广告宣传及市场推广费用增加较多。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目前公司已经根据市场变化，采取措施控费，但是经营惯性控费效果还需要一段时间才能显现。集团之后会进一步控费，通过销售平台和产品线的整合，进一步聚焦资源到研发费用，减少管理费用开支，提高市场竞争力，尽快恢复经营业绩。</w:t>
            </w:r>
          </w:p>
          <w:p>
            <w:pPr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  <w:t>交流提问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845"/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  <w:t>公司收购埃特斯的考虑是什么？收购对公司的现金流是否造成压力？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eastAsia" w:ascii="Times New Roman" w:hAnsi="Times New Roman" w:eastAsia="宋体" w:cs="Times New Roman"/>
                <w:bCs/>
                <w:i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公司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公告了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收购埃特斯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的预案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启动该项目的初衷是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更看重此次收购对进一步完善公司车联网战略布局、拓展车联网应用场景、丰富下游客户资源等实业意义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，这也是收购谈判中最主要的考量。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本次收购完成后，在产品布局上，有助于高新兴补足在ETC领域的OBU和RSU产品序列，将与公司原有的OBD、T-BOX、RSU和汽车电子标识系列产品形成组合拳，与公司已有产品线电子车牌、C-V2X之间相互协同。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高新兴帮助埃特斯完善供应链，而</w:t>
            </w:r>
            <w:r>
              <w:rPr>
                <w:rFonts w:hint="default" w:ascii="Times New Roman" w:hAnsi="Times New Roman" w:eastAsia="宋体" w:cs="Times New Roman"/>
              </w:rPr>
              <w:t>埃特斯在</w:t>
            </w:r>
            <w:r>
              <w:rPr>
                <w:rFonts w:hint="eastAsia" w:ascii="Times New Roman" w:hAnsi="Times New Roman" w:cs="Times New Roman"/>
                <w:lang w:eastAsia="zh-CN"/>
              </w:rPr>
              <w:t>全国</w:t>
            </w:r>
            <w:r>
              <w:rPr>
                <w:rFonts w:hint="default" w:ascii="Times New Roman" w:hAnsi="Times New Roman" w:eastAsia="宋体" w:cs="Times New Roman"/>
              </w:rPr>
              <w:t>高速公路领域深耕十几年的经验，具有极强的竞争力，公司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通过埃特斯的产品和销售渠道，拓展车联网技术在高速公路场景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的应用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，与埃特斯的客户资源形成优势互补，促使高新兴加速拓展车路协同的交通市场，实现双方资源协同和优势互补。</w:t>
            </w:r>
          </w:p>
          <w:p>
            <w:p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本次收购拟通过发行股份的方式购买股权，所以对公司现金流不造成压力。自本次交易预案披露以来，公司及相关各方积极推进本次交易的各项工作，截至2019年10月23日《高新兴:关于发行股份购买资产事项的进展公告》披露之日，本次交易所涉及埃特斯的审计、评估工作尚未完成，待相关工作完成后，公司将再次召开董事会审议本次交易的正式方案，披露发行股份购买资产交易报告书，并按照相关法律法规的规定履行有关的后续审批及信息披露程序。本次交易能否获得上述批准或核准，以及最终获得相关批准或核准时间，均存在不确定性，提请广大投资者注意投资风险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845"/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  <w:t>电子车牌项目目前进展如何？其他城市的推广情况如何？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公司目前已在重庆拥有国内建设规模最大、系统最完善的电子车牌运营管理系统，除此之外，在无锡、深圳、北京等地均有项目落地，今年，公司中标武汉汽车电子标识试点工程项目，项目用途是利用汽车电子标识技术开展军运会通勤线路监管、军运会场馆出入口管理、重点监管车辆管理、特定车辆优先控制、电子通行证等示范应用工作。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公司目前正积极向其他城市试点、推广电子车牌项目，同时也在积极探索更多的应用场景，例如在保险行业，通过电子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车牌和保险结合的模式开拓电子车牌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eastAsia="zh-CN"/>
              </w:rPr>
              <w:t>社会服务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场景，非常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看好电子车牌未来发展趋势。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845"/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  <w:t>公司目前车联网产品情况如何？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2019年前三季度，集团车联网产品收入同比去年增长较好，海外供应链的迁移，海外销售渠道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进一步扩展，确保了车联网收入规模，车联网前装T-box终端、后装OBD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终端、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车规级模组等产品都有较好的销售情况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集团今年进一步拓展海外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销售市场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深耕国内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汽车前装市场，已开拓部分新客户，并与各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整车厂保持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良好</w:t>
            </w:r>
            <w:r>
              <w:rPr>
                <w:rFonts w:hint="eastAsia" w:ascii="Times New Roman" w:hAnsi="Times New Roman" w:cs="Times New Roman"/>
                <w:bCs/>
                <w:iCs/>
                <w:color w:val="000000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  <w:t>合作伙伴关系。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845"/>
              <w:rPr>
                <w:rFonts w:hint="default" w:ascii="Times New Roman" w:hAnsi="Times New Roman" w:eastAsia="宋体" w:cs="Times New Roman"/>
                <w:b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iCs/>
                <w:color w:val="000000"/>
                <w:kern w:val="2"/>
                <w:szCs w:val="21"/>
              </w:rPr>
              <w:t>公司</w:t>
            </w:r>
            <w:r>
              <w:rPr>
                <w:rFonts w:hint="default" w:ascii="Times New Roman" w:hAnsi="Times New Roman"/>
                <w:b/>
                <w:iCs/>
                <w:color w:val="000000"/>
                <w:szCs w:val="21"/>
              </w:rPr>
              <w:t>是否有考虑引进大型互联网公司</w:t>
            </w:r>
            <w:r>
              <w:rPr>
                <w:rFonts w:hint="default" w:ascii="Times New Roman" w:hAnsi="Times New Roman" w:cs="Times New Roman"/>
                <w:b/>
                <w:iCs/>
                <w:color w:val="000000"/>
                <w:kern w:val="2"/>
                <w:szCs w:val="21"/>
                <w:lang w:eastAsia="zh-CN"/>
              </w:rPr>
              <w:t>或</w:t>
            </w:r>
            <w:r>
              <w:rPr>
                <w:rFonts w:hint="default" w:ascii="Times New Roman" w:hAnsi="Times New Roman"/>
                <w:b/>
                <w:iCs/>
                <w:color w:val="000000"/>
                <w:szCs w:val="21"/>
              </w:rPr>
              <w:t>国资背景的公司共同拓展车联网领域？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left="210" w:leftChars="100" w:firstLine="420" w:firstLineChars="200"/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</w:rPr>
            </w:pPr>
            <w:r>
              <w:rPr>
                <w:rFonts w:hint="default" w:ascii="Times New Roman" w:hAnsi="Times New Roman"/>
                <w:bCs/>
                <w:iCs/>
                <w:color w:val="000000"/>
                <w:szCs w:val="21"/>
              </w:rPr>
              <w:t>公司始终保持开放的心态，加强与产业链上下游</w:t>
            </w:r>
            <w:r>
              <w:rPr>
                <w:rFonts w:hint="eastAsia" w:ascii="Times New Roman" w:hAnsi="Times New Roman"/>
                <w:bCs/>
                <w:iCs/>
                <w:color w:val="000000"/>
                <w:szCs w:val="21"/>
                <w:lang w:eastAsia="zh-CN"/>
              </w:rPr>
              <w:t>优质</w:t>
            </w:r>
            <w:r>
              <w:rPr>
                <w:rFonts w:hint="default" w:ascii="Times New Roman" w:hAnsi="Times New Roman"/>
                <w:bCs/>
                <w:iCs/>
                <w:color w:val="000000"/>
                <w:szCs w:val="21"/>
              </w:rPr>
              <w:t>厂商的合作，推进公司各类业务市场布局。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845"/>
              <w:rPr>
                <w:rFonts w:hint="default" w:ascii="Times New Roman" w:hAnsi="Times New Roman"/>
                <w:b/>
                <w:iCs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Cs/>
                <w:color w:val="000000"/>
                <w:kern w:val="2"/>
                <w:szCs w:val="21"/>
              </w:rPr>
              <w:t>公司</w:t>
            </w:r>
            <w:r>
              <w:rPr>
                <w:rFonts w:hint="default" w:ascii="Times New Roman" w:hAnsi="Times New Roman" w:cs="Times New Roman"/>
                <w:b/>
                <w:iCs/>
                <w:color w:val="000000"/>
                <w:kern w:val="2"/>
                <w:szCs w:val="21"/>
                <w:lang w:val="en-US" w:eastAsia="zh-CN"/>
              </w:rPr>
              <w:t>2019年研发投入情况</w:t>
            </w:r>
          </w:p>
          <w:p>
            <w:pPr>
              <w:numPr>
                <w:ilvl w:val="255"/>
                <w:numId w:val="0"/>
              </w:numPr>
              <w:spacing w:line="360" w:lineRule="auto"/>
              <w:ind w:left="210" w:leftChars="100" w:firstLine="420" w:firstLineChars="200"/>
              <w:rPr>
                <w:rFonts w:hint="eastAsia" w:ascii="Times New Roman" w:hAnsi="Times New Roman" w:eastAsia="宋体"/>
                <w:bCs/>
                <w:iCs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/>
                <w:bCs/>
                <w:iCs/>
                <w:color w:val="000000"/>
                <w:szCs w:val="21"/>
              </w:rPr>
              <w:t>2019年前三季度研发投入合计3.94亿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/>
                <w:bCs/>
                <w:iCs/>
                <w:color w:val="000000"/>
                <w:szCs w:val="21"/>
              </w:rPr>
              <w:t>比上年同期增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  <w:lang w:eastAsia="zh-CN"/>
              </w:rPr>
              <w:t>加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  <w:lang w:val="en-US" w:eastAsia="zh-CN"/>
              </w:rPr>
              <w:t>40.74%，</w:t>
            </w:r>
            <w:r>
              <w:rPr>
                <w:rFonts w:hint="default" w:ascii="Times New Roman" w:hAnsi="Times New Roman" w:eastAsia="宋体" w:cs="Times New Roman"/>
                <w:bCs/>
                <w:iCs/>
                <w:color w:val="000000"/>
                <w:szCs w:val="21"/>
                <w:lang w:eastAsia="zh-CN"/>
              </w:rPr>
              <w:t>其中</w:t>
            </w:r>
            <w:r>
              <w:rPr>
                <w:rFonts w:hint="default" w:ascii="Times New Roman" w:hAnsi="Times New Roman" w:eastAsia="宋体" w:cs="Times New Roman"/>
                <w:kern w:val="0"/>
                <w:szCs w:val="24"/>
                <w:lang w:val="zh-CN"/>
              </w:rPr>
              <w:t>在5G和C-V2X技术和产品研发上投入募集资金，按照预定计划进行研发资本化，公司后续仍会保持在研发投入上的力度，</w:t>
            </w:r>
            <w:r>
              <w:rPr>
                <w:rFonts w:hint="default" w:ascii="Times New Roman" w:hAnsi="Times New Roman"/>
                <w:kern w:val="0"/>
                <w:lang w:val="zh-CN"/>
              </w:rPr>
              <w:t>巩固</w:t>
            </w:r>
            <w:r>
              <w:rPr>
                <w:rFonts w:hint="default" w:ascii="Times New Roman" w:hAnsi="Times New Roman" w:eastAsia="宋体" w:cs="Times New Roman"/>
                <w:kern w:val="0"/>
                <w:lang w:val="zh-CN"/>
              </w:rPr>
              <w:t>和提升</w:t>
            </w:r>
            <w:r>
              <w:rPr>
                <w:rFonts w:hint="default" w:ascii="Times New Roman" w:hAnsi="Times New Roman"/>
                <w:kern w:val="0"/>
                <w:lang w:val="zh-CN"/>
              </w:rPr>
              <w:t>核心竞争力</w:t>
            </w:r>
            <w:r>
              <w:rPr>
                <w:rFonts w:hint="default" w:ascii="Times New Roman" w:hAnsi="Times New Roman" w:eastAsia="宋体" w:cs="Times New Roman"/>
                <w:kern w:val="0"/>
                <w:lang w:val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附件清单（如有）</w:t>
            </w:r>
          </w:p>
        </w:tc>
        <w:tc>
          <w:tcPr>
            <w:tcW w:w="6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1"/>
              </w:rPr>
              <w:t>无</w:t>
            </w:r>
          </w:p>
        </w:tc>
      </w:tr>
    </w:tbl>
    <w:p>
      <w:pPr>
        <w:spacing w:line="400" w:lineRule="exac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55B0CB"/>
    <w:multiLevelType w:val="multilevel"/>
    <w:tmpl w:val="9655B0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ACDEE2A0"/>
    <w:multiLevelType w:val="singleLevel"/>
    <w:tmpl w:val="ACDEE2A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7236E481"/>
    <w:multiLevelType w:val="singleLevel"/>
    <w:tmpl w:val="7236E48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2AF7"/>
    <w:rsid w:val="000309DD"/>
    <w:rsid w:val="00037162"/>
    <w:rsid w:val="00052D71"/>
    <w:rsid w:val="0006544D"/>
    <w:rsid w:val="000740B9"/>
    <w:rsid w:val="0009694D"/>
    <w:rsid w:val="000A6E2E"/>
    <w:rsid w:val="000E2EDB"/>
    <w:rsid w:val="000F141A"/>
    <w:rsid w:val="000F5440"/>
    <w:rsid w:val="000F7885"/>
    <w:rsid w:val="0012327A"/>
    <w:rsid w:val="00125C4F"/>
    <w:rsid w:val="0013246B"/>
    <w:rsid w:val="00137334"/>
    <w:rsid w:val="00140058"/>
    <w:rsid w:val="00144C7C"/>
    <w:rsid w:val="00150E47"/>
    <w:rsid w:val="001564B1"/>
    <w:rsid w:val="0016100C"/>
    <w:rsid w:val="00161D1E"/>
    <w:rsid w:val="001632E2"/>
    <w:rsid w:val="00172A27"/>
    <w:rsid w:val="00175DCC"/>
    <w:rsid w:val="001A39F6"/>
    <w:rsid w:val="001B614D"/>
    <w:rsid w:val="001C28F2"/>
    <w:rsid w:val="001D248F"/>
    <w:rsid w:val="001E43FC"/>
    <w:rsid w:val="00200333"/>
    <w:rsid w:val="00203D24"/>
    <w:rsid w:val="00206091"/>
    <w:rsid w:val="0021154D"/>
    <w:rsid w:val="002147F8"/>
    <w:rsid w:val="002223A1"/>
    <w:rsid w:val="002477CF"/>
    <w:rsid w:val="002526C2"/>
    <w:rsid w:val="00273F90"/>
    <w:rsid w:val="00287F1F"/>
    <w:rsid w:val="0029136D"/>
    <w:rsid w:val="002950C3"/>
    <w:rsid w:val="002B3409"/>
    <w:rsid w:val="002D001A"/>
    <w:rsid w:val="003011AB"/>
    <w:rsid w:val="0033260C"/>
    <w:rsid w:val="00335B8D"/>
    <w:rsid w:val="003478FD"/>
    <w:rsid w:val="0035542B"/>
    <w:rsid w:val="00355E8A"/>
    <w:rsid w:val="00373FA7"/>
    <w:rsid w:val="0038184A"/>
    <w:rsid w:val="00383326"/>
    <w:rsid w:val="00393126"/>
    <w:rsid w:val="003A2DCA"/>
    <w:rsid w:val="003A5E37"/>
    <w:rsid w:val="003A7A09"/>
    <w:rsid w:val="003B1CF1"/>
    <w:rsid w:val="003B34D5"/>
    <w:rsid w:val="003B5E0B"/>
    <w:rsid w:val="003C18FD"/>
    <w:rsid w:val="003D1C50"/>
    <w:rsid w:val="003D5D01"/>
    <w:rsid w:val="003F0277"/>
    <w:rsid w:val="00416690"/>
    <w:rsid w:val="00425851"/>
    <w:rsid w:val="00431641"/>
    <w:rsid w:val="00431C01"/>
    <w:rsid w:val="004417DC"/>
    <w:rsid w:val="00470C93"/>
    <w:rsid w:val="00492F9A"/>
    <w:rsid w:val="0049342A"/>
    <w:rsid w:val="004941E4"/>
    <w:rsid w:val="004B08E0"/>
    <w:rsid w:val="004B6752"/>
    <w:rsid w:val="004C55EA"/>
    <w:rsid w:val="004D21AB"/>
    <w:rsid w:val="004D3410"/>
    <w:rsid w:val="004E2A18"/>
    <w:rsid w:val="004F3028"/>
    <w:rsid w:val="00522E66"/>
    <w:rsid w:val="00531273"/>
    <w:rsid w:val="005408C3"/>
    <w:rsid w:val="0054306E"/>
    <w:rsid w:val="00564E52"/>
    <w:rsid w:val="00592687"/>
    <w:rsid w:val="005B76A5"/>
    <w:rsid w:val="005C2E0C"/>
    <w:rsid w:val="005D2335"/>
    <w:rsid w:val="005D445A"/>
    <w:rsid w:val="005E2819"/>
    <w:rsid w:val="00601167"/>
    <w:rsid w:val="006133B9"/>
    <w:rsid w:val="00620525"/>
    <w:rsid w:val="006376E6"/>
    <w:rsid w:val="006429D2"/>
    <w:rsid w:val="0064763A"/>
    <w:rsid w:val="006633B5"/>
    <w:rsid w:val="00664427"/>
    <w:rsid w:val="0066721E"/>
    <w:rsid w:val="00672FD1"/>
    <w:rsid w:val="00676307"/>
    <w:rsid w:val="00691F80"/>
    <w:rsid w:val="00697BAA"/>
    <w:rsid w:val="006A5756"/>
    <w:rsid w:val="006B40C6"/>
    <w:rsid w:val="006E15F2"/>
    <w:rsid w:val="006E4082"/>
    <w:rsid w:val="00712941"/>
    <w:rsid w:val="00715140"/>
    <w:rsid w:val="00724C01"/>
    <w:rsid w:val="007353F8"/>
    <w:rsid w:val="0075232D"/>
    <w:rsid w:val="00754FA0"/>
    <w:rsid w:val="00757E60"/>
    <w:rsid w:val="00762475"/>
    <w:rsid w:val="00766411"/>
    <w:rsid w:val="00770DCD"/>
    <w:rsid w:val="0077140A"/>
    <w:rsid w:val="007A389C"/>
    <w:rsid w:val="007B3AF8"/>
    <w:rsid w:val="007C3881"/>
    <w:rsid w:val="007C6C1A"/>
    <w:rsid w:val="007D4468"/>
    <w:rsid w:val="007D4F50"/>
    <w:rsid w:val="007D7A6E"/>
    <w:rsid w:val="007D7CC9"/>
    <w:rsid w:val="007E2C99"/>
    <w:rsid w:val="007E61A5"/>
    <w:rsid w:val="007F1227"/>
    <w:rsid w:val="007F222C"/>
    <w:rsid w:val="00823FE2"/>
    <w:rsid w:val="00834423"/>
    <w:rsid w:val="00836716"/>
    <w:rsid w:val="00851610"/>
    <w:rsid w:val="00863A76"/>
    <w:rsid w:val="008951BD"/>
    <w:rsid w:val="008A62A0"/>
    <w:rsid w:val="008B24D4"/>
    <w:rsid w:val="008B63AC"/>
    <w:rsid w:val="008B79AE"/>
    <w:rsid w:val="008C339B"/>
    <w:rsid w:val="008C3D30"/>
    <w:rsid w:val="008D00C4"/>
    <w:rsid w:val="008D1665"/>
    <w:rsid w:val="008D66E7"/>
    <w:rsid w:val="008E728A"/>
    <w:rsid w:val="00902B23"/>
    <w:rsid w:val="00905647"/>
    <w:rsid w:val="00914B49"/>
    <w:rsid w:val="0091663C"/>
    <w:rsid w:val="0092684B"/>
    <w:rsid w:val="00940F6E"/>
    <w:rsid w:val="00942D37"/>
    <w:rsid w:val="00943077"/>
    <w:rsid w:val="00946440"/>
    <w:rsid w:val="00951EB9"/>
    <w:rsid w:val="00956A3C"/>
    <w:rsid w:val="0099190C"/>
    <w:rsid w:val="009A4432"/>
    <w:rsid w:val="009B15AA"/>
    <w:rsid w:val="009B7732"/>
    <w:rsid w:val="009D1819"/>
    <w:rsid w:val="009F2899"/>
    <w:rsid w:val="009F4AF7"/>
    <w:rsid w:val="009F7E5A"/>
    <w:rsid w:val="00A06B98"/>
    <w:rsid w:val="00A1524C"/>
    <w:rsid w:val="00A26B42"/>
    <w:rsid w:val="00A43F63"/>
    <w:rsid w:val="00A63447"/>
    <w:rsid w:val="00A736D4"/>
    <w:rsid w:val="00A74FBC"/>
    <w:rsid w:val="00A86318"/>
    <w:rsid w:val="00A93916"/>
    <w:rsid w:val="00AA7A39"/>
    <w:rsid w:val="00AB69A3"/>
    <w:rsid w:val="00AE12EE"/>
    <w:rsid w:val="00AE6A56"/>
    <w:rsid w:val="00AF1308"/>
    <w:rsid w:val="00AF58DD"/>
    <w:rsid w:val="00B02061"/>
    <w:rsid w:val="00B22A81"/>
    <w:rsid w:val="00B33A3D"/>
    <w:rsid w:val="00B37341"/>
    <w:rsid w:val="00B402C2"/>
    <w:rsid w:val="00B606AA"/>
    <w:rsid w:val="00B6688F"/>
    <w:rsid w:val="00B762E2"/>
    <w:rsid w:val="00B7782A"/>
    <w:rsid w:val="00B81F92"/>
    <w:rsid w:val="00B91A17"/>
    <w:rsid w:val="00B93801"/>
    <w:rsid w:val="00B93EC7"/>
    <w:rsid w:val="00BA433C"/>
    <w:rsid w:val="00BD2D86"/>
    <w:rsid w:val="00BD722E"/>
    <w:rsid w:val="00BD78DE"/>
    <w:rsid w:val="00BE0007"/>
    <w:rsid w:val="00BE4AAE"/>
    <w:rsid w:val="00BF10C0"/>
    <w:rsid w:val="00C22E3D"/>
    <w:rsid w:val="00C33CDB"/>
    <w:rsid w:val="00C47F64"/>
    <w:rsid w:val="00C5660E"/>
    <w:rsid w:val="00C66AE3"/>
    <w:rsid w:val="00C744C2"/>
    <w:rsid w:val="00C80873"/>
    <w:rsid w:val="00C840F0"/>
    <w:rsid w:val="00CB16AC"/>
    <w:rsid w:val="00CB3245"/>
    <w:rsid w:val="00CB6561"/>
    <w:rsid w:val="00CD1309"/>
    <w:rsid w:val="00CD7591"/>
    <w:rsid w:val="00CE4802"/>
    <w:rsid w:val="00D053C0"/>
    <w:rsid w:val="00D26FB6"/>
    <w:rsid w:val="00D5234F"/>
    <w:rsid w:val="00D7053C"/>
    <w:rsid w:val="00D70545"/>
    <w:rsid w:val="00D81BC9"/>
    <w:rsid w:val="00D838F3"/>
    <w:rsid w:val="00D855CF"/>
    <w:rsid w:val="00D94A9E"/>
    <w:rsid w:val="00DA7D44"/>
    <w:rsid w:val="00DB1251"/>
    <w:rsid w:val="00DB1549"/>
    <w:rsid w:val="00DB1D4F"/>
    <w:rsid w:val="00DD1B16"/>
    <w:rsid w:val="00DD3439"/>
    <w:rsid w:val="00DE5F46"/>
    <w:rsid w:val="00E26A56"/>
    <w:rsid w:val="00E35D8D"/>
    <w:rsid w:val="00E43F00"/>
    <w:rsid w:val="00E45F51"/>
    <w:rsid w:val="00E46532"/>
    <w:rsid w:val="00E50359"/>
    <w:rsid w:val="00E64773"/>
    <w:rsid w:val="00E83C6C"/>
    <w:rsid w:val="00EB669B"/>
    <w:rsid w:val="00EB6D5C"/>
    <w:rsid w:val="00EC2172"/>
    <w:rsid w:val="00EC78DC"/>
    <w:rsid w:val="00EE4EFA"/>
    <w:rsid w:val="00F03150"/>
    <w:rsid w:val="00F258D9"/>
    <w:rsid w:val="00F350B6"/>
    <w:rsid w:val="00F6080C"/>
    <w:rsid w:val="00F70A19"/>
    <w:rsid w:val="00F82854"/>
    <w:rsid w:val="00F83FD0"/>
    <w:rsid w:val="00F868DD"/>
    <w:rsid w:val="00F902A7"/>
    <w:rsid w:val="00F9455B"/>
    <w:rsid w:val="00F94C1D"/>
    <w:rsid w:val="00FA3584"/>
    <w:rsid w:val="00FA4EAF"/>
    <w:rsid w:val="00FB233F"/>
    <w:rsid w:val="00FC58AE"/>
    <w:rsid w:val="00FF379B"/>
    <w:rsid w:val="0177116A"/>
    <w:rsid w:val="02020072"/>
    <w:rsid w:val="022645EA"/>
    <w:rsid w:val="02BD4372"/>
    <w:rsid w:val="02DE679C"/>
    <w:rsid w:val="030F6F77"/>
    <w:rsid w:val="035E2699"/>
    <w:rsid w:val="03627609"/>
    <w:rsid w:val="03D73223"/>
    <w:rsid w:val="04433E88"/>
    <w:rsid w:val="04CE4671"/>
    <w:rsid w:val="053058C0"/>
    <w:rsid w:val="061A135F"/>
    <w:rsid w:val="063F4B18"/>
    <w:rsid w:val="06554661"/>
    <w:rsid w:val="06645B08"/>
    <w:rsid w:val="067A25B2"/>
    <w:rsid w:val="067C2A6B"/>
    <w:rsid w:val="07076DFF"/>
    <w:rsid w:val="07B01A85"/>
    <w:rsid w:val="07CE4416"/>
    <w:rsid w:val="0866522A"/>
    <w:rsid w:val="0867184C"/>
    <w:rsid w:val="08A76578"/>
    <w:rsid w:val="08E21D85"/>
    <w:rsid w:val="090A738B"/>
    <w:rsid w:val="09380BE1"/>
    <w:rsid w:val="096C38B7"/>
    <w:rsid w:val="09A8777C"/>
    <w:rsid w:val="09B36B31"/>
    <w:rsid w:val="09D7104D"/>
    <w:rsid w:val="0A3D5385"/>
    <w:rsid w:val="0A9B5B54"/>
    <w:rsid w:val="0AF414C2"/>
    <w:rsid w:val="0B5C0E15"/>
    <w:rsid w:val="0BB32E44"/>
    <w:rsid w:val="0C8D24F2"/>
    <w:rsid w:val="0DA25A50"/>
    <w:rsid w:val="0DB83143"/>
    <w:rsid w:val="0DBA2D0F"/>
    <w:rsid w:val="0DC1432D"/>
    <w:rsid w:val="0DE3239A"/>
    <w:rsid w:val="0E13091C"/>
    <w:rsid w:val="0FCD7E8D"/>
    <w:rsid w:val="10382F11"/>
    <w:rsid w:val="115172A9"/>
    <w:rsid w:val="11AF31C6"/>
    <w:rsid w:val="11D93754"/>
    <w:rsid w:val="12533A46"/>
    <w:rsid w:val="12554EFB"/>
    <w:rsid w:val="12731335"/>
    <w:rsid w:val="12896B3E"/>
    <w:rsid w:val="13551B27"/>
    <w:rsid w:val="137B7870"/>
    <w:rsid w:val="13DB0F4E"/>
    <w:rsid w:val="142C319B"/>
    <w:rsid w:val="14330E77"/>
    <w:rsid w:val="144E03CF"/>
    <w:rsid w:val="14672DA5"/>
    <w:rsid w:val="14B50D3F"/>
    <w:rsid w:val="153A0651"/>
    <w:rsid w:val="155B4AE2"/>
    <w:rsid w:val="15913322"/>
    <w:rsid w:val="15CC2118"/>
    <w:rsid w:val="15E7238B"/>
    <w:rsid w:val="161E3919"/>
    <w:rsid w:val="162D6186"/>
    <w:rsid w:val="16442A37"/>
    <w:rsid w:val="164C3629"/>
    <w:rsid w:val="1699677E"/>
    <w:rsid w:val="16F6459E"/>
    <w:rsid w:val="177744EB"/>
    <w:rsid w:val="17A31DBB"/>
    <w:rsid w:val="17FE779D"/>
    <w:rsid w:val="18CA7CCD"/>
    <w:rsid w:val="18D05710"/>
    <w:rsid w:val="1965684C"/>
    <w:rsid w:val="19D41070"/>
    <w:rsid w:val="19F43EA9"/>
    <w:rsid w:val="1A373E27"/>
    <w:rsid w:val="1B612FD5"/>
    <w:rsid w:val="1B7577B7"/>
    <w:rsid w:val="1B793CFC"/>
    <w:rsid w:val="1B8D53F5"/>
    <w:rsid w:val="1BBE0E86"/>
    <w:rsid w:val="1BF87FB1"/>
    <w:rsid w:val="1C372BD8"/>
    <w:rsid w:val="1C6E70D7"/>
    <w:rsid w:val="1C79530D"/>
    <w:rsid w:val="1CDB2011"/>
    <w:rsid w:val="1CF1570E"/>
    <w:rsid w:val="1D153B53"/>
    <w:rsid w:val="1D4938D3"/>
    <w:rsid w:val="1D973CA1"/>
    <w:rsid w:val="1DAB321C"/>
    <w:rsid w:val="1DB36B9B"/>
    <w:rsid w:val="1DE64D3B"/>
    <w:rsid w:val="1DE80787"/>
    <w:rsid w:val="1E0239B1"/>
    <w:rsid w:val="1FE707D8"/>
    <w:rsid w:val="2012793A"/>
    <w:rsid w:val="203F2571"/>
    <w:rsid w:val="204F5563"/>
    <w:rsid w:val="207D6093"/>
    <w:rsid w:val="21092635"/>
    <w:rsid w:val="211A1EB8"/>
    <w:rsid w:val="21A53A2A"/>
    <w:rsid w:val="22727A0B"/>
    <w:rsid w:val="227A6273"/>
    <w:rsid w:val="22DC6DEF"/>
    <w:rsid w:val="231B1879"/>
    <w:rsid w:val="23313355"/>
    <w:rsid w:val="23532B2F"/>
    <w:rsid w:val="23710F43"/>
    <w:rsid w:val="240A50E5"/>
    <w:rsid w:val="2496713E"/>
    <w:rsid w:val="24BE0EC8"/>
    <w:rsid w:val="256A5B6C"/>
    <w:rsid w:val="258A2F94"/>
    <w:rsid w:val="25A10939"/>
    <w:rsid w:val="25DC5E37"/>
    <w:rsid w:val="25F4775F"/>
    <w:rsid w:val="26077BA8"/>
    <w:rsid w:val="262A2D91"/>
    <w:rsid w:val="26466A36"/>
    <w:rsid w:val="266E6EC0"/>
    <w:rsid w:val="2690122B"/>
    <w:rsid w:val="269E16BD"/>
    <w:rsid w:val="26EE4488"/>
    <w:rsid w:val="27900456"/>
    <w:rsid w:val="27B63572"/>
    <w:rsid w:val="27BC6E9B"/>
    <w:rsid w:val="27CC2FFC"/>
    <w:rsid w:val="289F6213"/>
    <w:rsid w:val="28D82D64"/>
    <w:rsid w:val="28FE79F5"/>
    <w:rsid w:val="29100149"/>
    <w:rsid w:val="2922555B"/>
    <w:rsid w:val="29232AE2"/>
    <w:rsid w:val="29D85C4B"/>
    <w:rsid w:val="2A2D1FFC"/>
    <w:rsid w:val="2A30081D"/>
    <w:rsid w:val="2A3C4A25"/>
    <w:rsid w:val="2A3E06A2"/>
    <w:rsid w:val="2AD6609D"/>
    <w:rsid w:val="2AE4385D"/>
    <w:rsid w:val="2AEF1A2A"/>
    <w:rsid w:val="2B0928DA"/>
    <w:rsid w:val="2B4F01BD"/>
    <w:rsid w:val="2B6A3A3B"/>
    <w:rsid w:val="2BC14E00"/>
    <w:rsid w:val="2C1D303F"/>
    <w:rsid w:val="2C7C7536"/>
    <w:rsid w:val="2CBD20FC"/>
    <w:rsid w:val="2D031D8C"/>
    <w:rsid w:val="2D04268A"/>
    <w:rsid w:val="2D7149BB"/>
    <w:rsid w:val="2D9062E6"/>
    <w:rsid w:val="2DAC2042"/>
    <w:rsid w:val="2DC76723"/>
    <w:rsid w:val="2DCC79A8"/>
    <w:rsid w:val="2E110C0F"/>
    <w:rsid w:val="2E2D59E4"/>
    <w:rsid w:val="2E306053"/>
    <w:rsid w:val="2E735844"/>
    <w:rsid w:val="2E7F585E"/>
    <w:rsid w:val="2EFA3A1E"/>
    <w:rsid w:val="2F9D5F3A"/>
    <w:rsid w:val="2FCB16B2"/>
    <w:rsid w:val="2FDF1F05"/>
    <w:rsid w:val="2FE6092B"/>
    <w:rsid w:val="308A2FC6"/>
    <w:rsid w:val="30AD398C"/>
    <w:rsid w:val="310D0B08"/>
    <w:rsid w:val="31A50B61"/>
    <w:rsid w:val="31C61E33"/>
    <w:rsid w:val="31CB2FF8"/>
    <w:rsid w:val="31EC3FF8"/>
    <w:rsid w:val="32A35ADA"/>
    <w:rsid w:val="32BA3DD6"/>
    <w:rsid w:val="33220658"/>
    <w:rsid w:val="337C4CFE"/>
    <w:rsid w:val="338E56FF"/>
    <w:rsid w:val="33EA0AF5"/>
    <w:rsid w:val="33ED213B"/>
    <w:rsid w:val="341C18F3"/>
    <w:rsid w:val="34506B7F"/>
    <w:rsid w:val="35185E2B"/>
    <w:rsid w:val="352C6D80"/>
    <w:rsid w:val="354E0C51"/>
    <w:rsid w:val="35D26FB2"/>
    <w:rsid w:val="3626011B"/>
    <w:rsid w:val="363825F5"/>
    <w:rsid w:val="36621C84"/>
    <w:rsid w:val="36B20502"/>
    <w:rsid w:val="36F92C86"/>
    <w:rsid w:val="370D7F2B"/>
    <w:rsid w:val="37751B7C"/>
    <w:rsid w:val="37AA683A"/>
    <w:rsid w:val="38796140"/>
    <w:rsid w:val="38B669E3"/>
    <w:rsid w:val="38F972B1"/>
    <w:rsid w:val="393038E9"/>
    <w:rsid w:val="39632569"/>
    <w:rsid w:val="3A2D2BD5"/>
    <w:rsid w:val="3A981A22"/>
    <w:rsid w:val="3AC139A3"/>
    <w:rsid w:val="3B720785"/>
    <w:rsid w:val="3B79257F"/>
    <w:rsid w:val="3BB85989"/>
    <w:rsid w:val="3CBD1D91"/>
    <w:rsid w:val="3CFD7D8B"/>
    <w:rsid w:val="3D4456E2"/>
    <w:rsid w:val="3D720050"/>
    <w:rsid w:val="3D84706A"/>
    <w:rsid w:val="3DEE57BF"/>
    <w:rsid w:val="3E7A6736"/>
    <w:rsid w:val="3E7B5C14"/>
    <w:rsid w:val="3EF53FFA"/>
    <w:rsid w:val="3F08328F"/>
    <w:rsid w:val="3F4C2FA0"/>
    <w:rsid w:val="3F645FC4"/>
    <w:rsid w:val="3F91497E"/>
    <w:rsid w:val="3F9310F8"/>
    <w:rsid w:val="3FC127D3"/>
    <w:rsid w:val="3FD5595A"/>
    <w:rsid w:val="3FFF0FB8"/>
    <w:rsid w:val="402F65CE"/>
    <w:rsid w:val="40E50366"/>
    <w:rsid w:val="41677507"/>
    <w:rsid w:val="41AD59A4"/>
    <w:rsid w:val="41BE3F5E"/>
    <w:rsid w:val="41D836BB"/>
    <w:rsid w:val="4291510D"/>
    <w:rsid w:val="43B10BFB"/>
    <w:rsid w:val="43DD18D6"/>
    <w:rsid w:val="44000925"/>
    <w:rsid w:val="443B34FC"/>
    <w:rsid w:val="443C4B54"/>
    <w:rsid w:val="444410AF"/>
    <w:rsid w:val="44BE35AC"/>
    <w:rsid w:val="45BC7566"/>
    <w:rsid w:val="45C96118"/>
    <w:rsid w:val="46043BB5"/>
    <w:rsid w:val="469511DE"/>
    <w:rsid w:val="46B513FB"/>
    <w:rsid w:val="46BC5812"/>
    <w:rsid w:val="46D35917"/>
    <w:rsid w:val="47016A84"/>
    <w:rsid w:val="47052100"/>
    <w:rsid w:val="475B0355"/>
    <w:rsid w:val="47787013"/>
    <w:rsid w:val="47AB6411"/>
    <w:rsid w:val="47C9204B"/>
    <w:rsid w:val="483D6EF9"/>
    <w:rsid w:val="48A946FE"/>
    <w:rsid w:val="496A77EF"/>
    <w:rsid w:val="497546DE"/>
    <w:rsid w:val="49A465B9"/>
    <w:rsid w:val="49E929CA"/>
    <w:rsid w:val="4A0E6E1E"/>
    <w:rsid w:val="4A715053"/>
    <w:rsid w:val="4B000BF6"/>
    <w:rsid w:val="4B226778"/>
    <w:rsid w:val="4B941B11"/>
    <w:rsid w:val="4B9E29A4"/>
    <w:rsid w:val="4BCA7E83"/>
    <w:rsid w:val="4C3D0A97"/>
    <w:rsid w:val="4C72592F"/>
    <w:rsid w:val="4CAD124F"/>
    <w:rsid w:val="4D143D05"/>
    <w:rsid w:val="4D725800"/>
    <w:rsid w:val="4DAA7DB4"/>
    <w:rsid w:val="4DD52E24"/>
    <w:rsid w:val="4E184F7F"/>
    <w:rsid w:val="4E2E32C5"/>
    <w:rsid w:val="4E69113E"/>
    <w:rsid w:val="4E987430"/>
    <w:rsid w:val="4EE85A48"/>
    <w:rsid w:val="4EFF0DA5"/>
    <w:rsid w:val="4F4A44CB"/>
    <w:rsid w:val="4F514EC3"/>
    <w:rsid w:val="4F8A3F75"/>
    <w:rsid w:val="4FB231B0"/>
    <w:rsid w:val="502A20B8"/>
    <w:rsid w:val="5031572A"/>
    <w:rsid w:val="506D5550"/>
    <w:rsid w:val="50D80D16"/>
    <w:rsid w:val="50FF2A46"/>
    <w:rsid w:val="5113429C"/>
    <w:rsid w:val="514C48D6"/>
    <w:rsid w:val="518B635C"/>
    <w:rsid w:val="51B23B59"/>
    <w:rsid w:val="51C001A0"/>
    <w:rsid w:val="52115A40"/>
    <w:rsid w:val="522B0BBD"/>
    <w:rsid w:val="523A1744"/>
    <w:rsid w:val="527043DA"/>
    <w:rsid w:val="528100A1"/>
    <w:rsid w:val="5391694B"/>
    <w:rsid w:val="542A30D8"/>
    <w:rsid w:val="54BB7174"/>
    <w:rsid w:val="54D53DF4"/>
    <w:rsid w:val="54ED7CB3"/>
    <w:rsid w:val="55232E6B"/>
    <w:rsid w:val="55261887"/>
    <w:rsid w:val="55D40E91"/>
    <w:rsid w:val="56107841"/>
    <w:rsid w:val="5669286D"/>
    <w:rsid w:val="56BB0C0E"/>
    <w:rsid w:val="5711499D"/>
    <w:rsid w:val="575D415A"/>
    <w:rsid w:val="576F2D93"/>
    <w:rsid w:val="57742C7C"/>
    <w:rsid w:val="57822543"/>
    <w:rsid w:val="57E748D2"/>
    <w:rsid w:val="57EE4A58"/>
    <w:rsid w:val="57F05A58"/>
    <w:rsid w:val="57FC65FB"/>
    <w:rsid w:val="58172DC5"/>
    <w:rsid w:val="588033EC"/>
    <w:rsid w:val="590375A6"/>
    <w:rsid w:val="59BF3F9F"/>
    <w:rsid w:val="59FB6DB1"/>
    <w:rsid w:val="5A033011"/>
    <w:rsid w:val="5A373BA6"/>
    <w:rsid w:val="5AA76929"/>
    <w:rsid w:val="5AE93763"/>
    <w:rsid w:val="5B7C5113"/>
    <w:rsid w:val="5B9D2225"/>
    <w:rsid w:val="5BFF7929"/>
    <w:rsid w:val="5C435500"/>
    <w:rsid w:val="5C545C14"/>
    <w:rsid w:val="5C7913A4"/>
    <w:rsid w:val="5CBD3223"/>
    <w:rsid w:val="5CEB0490"/>
    <w:rsid w:val="5D117C91"/>
    <w:rsid w:val="5DB66400"/>
    <w:rsid w:val="5DD904C4"/>
    <w:rsid w:val="5E3927AA"/>
    <w:rsid w:val="5F7C680D"/>
    <w:rsid w:val="5FAB2A7A"/>
    <w:rsid w:val="5FF67529"/>
    <w:rsid w:val="5FFB1252"/>
    <w:rsid w:val="6056164C"/>
    <w:rsid w:val="609903B3"/>
    <w:rsid w:val="6115717C"/>
    <w:rsid w:val="611F37C6"/>
    <w:rsid w:val="6168664B"/>
    <w:rsid w:val="61856D84"/>
    <w:rsid w:val="618723D9"/>
    <w:rsid w:val="61A9695E"/>
    <w:rsid w:val="61F93AE7"/>
    <w:rsid w:val="621C496A"/>
    <w:rsid w:val="627537F2"/>
    <w:rsid w:val="62B67235"/>
    <w:rsid w:val="630135EA"/>
    <w:rsid w:val="634D58E7"/>
    <w:rsid w:val="6370365C"/>
    <w:rsid w:val="63833AB6"/>
    <w:rsid w:val="63C54B34"/>
    <w:rsid w:val="63F43A2A"/>
    <w:rsid w:val="647942F8"/>
    <w:rsid w:val="65D21B1D"/>
    <w:rsid w:val="66D5507E"/>
    <w:rsid w:val="679C12BF"/>
    <w:rsid w:val="67BE221D"/>
    <w:rsid w:val="68540871"/>
    <w:rsid w:val="69A9676A"/>
    <w:rsid w:val="6A772961"/>
    <w:rsid w:val="6A9A4C71"/>
    <w:rsid w:val="6B924E17"/>
    <w:rsid w:val="6BC24006"/>
    <w:rsid w:val="6C2767E2"/>
    <w:rsid w:val="6CEA579A"/>
    <w:rsid w:val="6D4F2E55"/>
    <w:rsid w:val="6D9918FF"/>
    <w:rsid w:val="6DC611F1"/>
    <w:rsid w:val="6E23576C"/>
    <w:rsid w:val="6E8142DD"/>
    <w:rsid w:val="6E861365"/>
    <w:rsid w:val="6EEA295F"/>
    <w:rsid w:val="6F1349A3"/>
    <w:rsid w:val="6F731A83"/>
    <w:rsid w:val="6FE01EBA"/>
    <w:rsid w:val="701C14E9"/>
    <w:rsid w:val="705B5D9A"/>
    <w:rsid w:val="70B05621"/>
    <w:rsid w:val="713D3625"/>
    <w:rsid w:val="71A65C86"/>
    <w:rsid w:val="71BF1D2E"/>
    <w:rsid w:val="71CD66B5"/>
    <w:rsid w:val="720A6D67"/>
    <w:rsid w:val="727E54C9"/>
    <w:rsid w:val="73065A47"/>
    <w:rsid w:val="730714C3"/>
    <w:rsid w:val="733C0B34"/>
    <w:rsid w:val="7365125A"/>
    <w:rsid w:val="7471287F"/>
    <w:rsid w:val="74732DE9"/>
    <w:rsid w:val="7500469D"/>
    <w:rsid w:val="75712108"/>
    <w:rsid w:val="75BD3D27"/>
    <w:rsid w:val="76027154"/>
    <w:rsid w:val="77486B4D"/>
    <w:rsid w:val="779C655A"/>
    <w:rsid w:val="77A50CAF"/>
    <w:rsid w:val="77DC291F"/>
    <w:rsid w:val="780A1DC1"/>
    <w:rsid w:val="78192353"/>
    <w:rsid w:val="785B27A8"/>
    <w:rsid w:val="78C11379"/>
    <w:rsid w:val="78DB7236"/>
    <w:rsid w:val="7A0A43E7"/>
    <w:rsid w:val="7A20208A"/>
    <w:rsid w:val="7A864847"/>
    <w:rsid w:val="7ADD5ACD"/>
    <w:rsid w:val="7AEC26A5"/>
    <w:rsid w:val="7B224551"/>
    <w:rsid w:val="7B666ECA"/>
    <w:rsid w:val="7B9D5080"/>
    <w:rsid w:val="7BDF5ACB"/>
    <w:rsid w:val="7CFA7DE7"/>
    <w:rsid w:val="7D4F7D24"/>
    <w:rsid w:val="7D6527D7"/>
    <w:rsid w:val="7D7B2E72"/>
    <w:rsid w:val="7DB77458"/>
    <w:rsid w:val="7DF2527D"/>
    <w:rsid w:val="7E0348E1"/>
    <w:rsid w:val="7E7978E3"/>
    <w:rsid w:val="7E964242"/>
    <w:rsid w:val="7EE72DC0"/>
    <w:rsid w:val="7F222F63"/>
    <w:rsid w:val="7F2501D5"/>
    <w:rsid w:val="7F3136C4"/>
    <w:rsid w:val="7F4C60F8"/>
    <w:rsid w:val="7FE0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22"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9"/>
    <w:unhideWhenUsed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修订1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8">
    <w:name w:val="批注文字 Char"/>
    <w:basedOn w:val="9"/>
    <w:link w:val="2"/>
    <w:semiHidden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19">
    <w:name w:val="18"/>
    <w:unhideWhenUsed/>
    <w:qFormat/>
    <w:uiPriority w:val="0"/>
    <w:rPr>
      <w:color w:val="000000"/>
      <w:sz w:val="18"/>
    </w:rPr>
  </w:style>
  <w:style w:type="character" w:customStyle="1" w:styleId="20">
    <w:name w:val="批注框文本 Char"/>
    <w:basedOn w:val="9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1">
    <w:name w:val="fontstyle01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2">
    <w:name w:val="批注主题 Char"/>
    <w:basedOn w:val="18"/>
    <w:link w:val="7"/>
    <w:semiHidden/>
    <w:qFormat/>
    <w:uiPriority w:val="99"/>
    <w:rPr>
      <w:rFonts w:ascii="Calibri" w:hAnsi="Calibri"/>
      <w:b/>
      <w:bCs/>
      <w:kern w:val="2"/>
      <w:sz w:val="21"/>
      <w:szCs w:val="24"/>
    </w:rPr>
  </w:style>
  <w:style w:type="character" w:customStyle="1" w:styleId="23">
    <w:name w:val="fontstyle21"/>
    <w:basedOn w:val="9"/>
    <w:qFormat/>
    <w:uiPriority w:val="0"/>
    <w:rPr>
      <w:rFonts w:hint="default" w:ascii="TimesNewRomanPSMT" w:hAnsi="TimesNewRomanPSMT"/>
      <w:color w:val="000000"/>
      <w:sz w:val="22"/>
      <w:szCs w:val="22"/>
    </w:rPr>
  </w:style>
  <w:style w:type="paragraph" w:customStyle="1" w:styleId="24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5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500</Words>
  <Characters>2855</Characters>
  <Lines>23</Lines>
  <Paragraphs>6</Paragraphs>
  <TotalTime>7</TotalTime>
  <ScaleCrop>false</ScaleCrop>
  <LinksUpToDate>false</LinksUpToDate>
  <CharactersWithSpaces>3349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2019-10-31T09:45:00Z</dcterms:created>
  <dc:creator>dell</dc:creator>
  <cp:lastModifiedBy>haiyan</cp:lastModifiedBy>
  <cp:lastPrinted>2019-11-01T01:32:00Z</cp:lastPrinted>
  <dcterms:modified xsi:type="dcterms:W3CDTF">2019-11-01T04:34:12Z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