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40" w:lineRule="atLeast"/>
        <w:ind w:firstLine="590" w:firstLineChars="245"/>
        <w:rPr>
          <w:rFonts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证券代码：</w:t>
      </w:r>
      <w:r>
        <w:rPr>
          <w:rFonts w:asciiTheme="minorEastAsia" w:hAnsiTheme="minorEastAsia" w:eastAsiaTheme="minorEastAsia"/>
          <w:b/>
          <w:bCs/>
          <w:color w:val="000000"/>
          <w:sz w:val="24"/>
          <w:szCs w:val="24"/>
        </w:rPr>
        <w:t xml:space="preserve"> 300019                             </w:t>
      </w:r>
      <w:r>
        <w:rPr>
          <w:rFonts w:hint="eastAsia" w:asciiTheme="minorEastAsia" w:hAnsiTheme="minorEastAsia" w:eastAsiaTheme="minorEastAsia"/>
          <w:b/>
          <w:bCs/>
          <w:color w:val="000000"/>
          <w:sz w:val="24"/>
          <w:szCs w:val="24"/>
        </w:rPr>
        <w:t>证券简称：硅宝科技</w:t>
      </w:r>
    </w:p>
    <w:p>
      <w:pPr>
        <w:spacing w:beforeLines="50" w:afterLines="50" w:line="440" w:lineRule="atLeast"/>
        <w:jc w:val="center"/>
        <w:rPr>
          <w:rFonts w:asciiTheme="minorEastAsia" w:hAnsiTheme="minorEastAsia" w:eastAsiaTheme="minorEastAsia"/>
          <w:b/>
          <w:bCs/>
          <w:color w:val="000000"/>
          <w:sz w:val="32"/>
          <w:szCs w:val="32"/>
        </w:rPr>
      </w:pPr>
      <w:r>
        <w:rPr>
          <w:rFonts w:hint="eastAsia" w:asciiTheme="minorEastAsia" w:hAnsiTheme="minorEastAsia" w:eastAsiaTheme="minorEastAsia"/>
          <w:b/>
          <w:bCs/>
          <w:color w:val="000000"/>
          <w:sz w:val="32"/>
          <w:szCs w:val="32"/>
        </w:rPr>
        <w:t>成都硅宝科技股份有限公司投资者关系活动记录表</w:t>
      </w:r>
    </w:p>
    <w:p>
      <w:pPr>
        <w:spacing w:line="440" w:lineRule="atLeast"/>
        <w:jc w:val="righ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rPr>
        <w:t>编号：</w:t>
      </w:r>
      <w:r>
        <w:rPr>
          <w:rFonts w:asciiTheme="minorEastAsia" w:hAnsiTheme="minorEastAsia" w:eastAsiaTheme="minorEastAsia"/>
          <w:color w:val="000000"/>
          <w:sz w:val="24"/>
          <w:szCs w:val="24"/>
        </w:rPr>
        <w:t>201</w:t>
      </w:r>
      <w:r>
        <w:rPr>
          <w:rFonts w:hint="eastAsia" w:asciiTheme="minorEastAsia" w:hAnsiTheme="minorEastAsia" w:eastAsiaTheme="minorEastAsia"/>
          <w:color w:val="000000"/>
          <w:sz w:val="24"/>
          <w:szCs w:val="24"/>
        </w:rPr>
        <w:t>9</w:t>
      </w:r>
      <w:r>
        <w:rPr>
          <w:rFonts w:asciiTheme="minorEastAsia" w:hAnsiTheme="minorEastAsia" w:eastAsiaTheme="minorEastAsia"/>
          <w:color w:val="000000"/>
          <w:sz w:val="24"/>
          <w:szCs w:val="24"/>
        </w:rPr>
        <w:t>-001</w:t>
      </w:r>
    </w:p>
    <w:tbl>
      <w:tblPr>
        <w:tblStyle w:val="4"/>
        <w:tblW w:w="10589" w:type="dxa"/>
        <w:tblInd w:w="-9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8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trPr>
        <w:tc>
          <w:tcPr>
            <w:tcW w:w="2310" w:type="dxa"/>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投资者关系</w:t>
            </w:r>
          </w:p>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活动类别</w:t>
            </w:r>
          </w:p>
        </w:tc>
        <w:tc>
          <w:tcPr>
            <w:tcW w:w="8279" w:type="dxa"/>
            <w:vAlign w:val="center"/>
          </w:tcPr>
          <w:p>
            <w:pPr>
              <w:jc w:val="both"/>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sym w:font="Wingdings" w:char="F0FE"/>
            </w:r>
            <w:r>
              <w:rPr>
                <w:rFonts w:hint="eastAsia" w:asciiTheme="minorEastAsia" w:hAnsiTheme="minorEastAsia" w:eastAsiaTheme="minorEastAsia"/>
                <w:color w:val="000000"/>
                <w:sz w:val="24"/>
                <w:szCs w:val="24"/>
              </w:rPr>
              <w:t>特定对象调研</w:t>
            </w:r>
            <w:r>
              <w:rPr>
                <w:rFonts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rPr>
              <w:t>□分析师会议        □媒体采访</w:t>
            </w:r>
          </w:p>
          <w:p>
            <w:pPr>
              <w:jc w:val="both"/>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□业绩说明会         □新闻发布会</w:t>
            </w:r>
            <w:r>
              <w:rPr>
                <w:rFonts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rPr>
              <w:t>□路演活动</w:t>
            </w:r>
          </w:p>
          <w:p>
            <w:pPr>
              <w:jc w:val="both"/>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sym w:font="Wingdings" w:char="F0FE"/>
            </w:r>
            <w:r>
              <w:rPr>
                <w:rFonts w:hint="eastAsia" w:asciiTheme="minorEastAsia" w:hAnsiTheme="minorEastAsia" w:eastAsiaTheme="minorEastAsia"/>
                <w:color w:val="000000"/>
                <w:sz w:val="24"/>
                <w:szCs w:val="24"/>
              </w:rPr>
              <w:t>现场参观</w:t>
            </w:r>
            <w:r>
              <w:rPr>
                <w:rFonts w:asciiTheme="minorEastAsia" w:hAnsiTheme="minorEastAsia" w:eastAsiaTheme="minorEastAsia"/>
                <w:color w:val="000000"/>
                <w:sz w:val="24"/>
                <w:szCs w:val="24"/>
              </w:rPr>
              <w:tab/>
            </w:r>
            <w:r>
              <w:rPr>
                <w:rFonts w:hint="eastAsia" w:asciiTheme="minorEastAsia" w:hAnsiTheme="minorEastAsia" w:eastAsiaTheme="minorEastAsia"/>
                <w:color w:val="000000"/>
                <w:sz w:val="24"/>
                <w:szCs w:val="24"/>
              </w:rPr>
              <w:t xml:space="preserve">         □其他</w:t>
            </w:r>
            <w:r>
              <w:rPr>
                <w:rFonts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310" w:type="dxa"/>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参与单位名称</w:t>
            </w:r>
          </w:p>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及人员姓名</w:t>
            </w:r>
          </w:p>
        </w:tc>
        <w:tc>
          <w:tcPr>
            <w:tcW w:w="8279" w:type="dxa"/>
            <w:vAlign w:val="center"/>
          </w:tcPr>
          <w:p>
            <w:pPr>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中信证券股份有限公司</w:t>
            </w:r>
            <w:r>
              <w:rPr>
                <w:rFonts w:hint="eastAsia" w:asciiTheme="minorEastAsia" w:hAnsiTheme="minorEastAsia" w:eastAsiaTheme="minorEastAsia"/>
                <w:color w:val="000000"/>
                <w:sz w:val="24"/>
                <w:szCs w:val="24"/>
                <w:lang w:val="en-US" w:eastAsia="zh-CN"/>
              </w:rPr>
              <w:t xml:space="preserve">  研究部高级副总裁</w:t>
            </w: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rPr>
              <w:t>袁健聪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vAlign w:val="center"/>
          </w:tcPr>
          <w:p>
            <w:pPr>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时间</w:t>
            </w:r>
          </w:p>
        </w:tc>
        <w:tc>
          <w:tcPr>
            <w:tcW w:w="8279" w:type="dxa"/>
            <w:vAlign w:val="center"/>
          </w:tcPr>
          <w:p>
            <w:pPr>
              <w:spacing w:line="440" w:lineRule="atLeast"/>
              <w:jc w:val="left"/>
              <w:rPr>
                <w:rFonts w:asciiTheme="minorEastAsia" w:hAnsiTheme="minorEastAsia" w:eastAsiaTheme="minorEastAsia"/>
              </w:rPr>
            </w:pPr>
            <w:r>
              <w:rPr>
                <w:rFonts w:asciiTheme="minorEastAsia" w:hAnsiTheme="minorEastAsia" w:eastAsiaTheme="minorEastAsia"/>
                <w:color w:val="000000"/>
                <w:sz w:val="24"/>
                <w:szCs w:val="24"/>
              </w:rPr>
              <w:t>201</w:t>
            </w:r>
            <w:r>
              <w:rPr>
                <w:rFonts w:hint="eastAsia" w:asciiTheme="minorEastAsia" w:hAnsiTheme="minorEastAsia" w:eastAsiaTheme="minorEastAsia"/>
                <w:color w:val="000000"/>
                <w:sz w:val="24"/>
                <w:szCs w:val="24"/>
              </w:rPr>
              <w:t>9年11月4日（星期一）下午</w:t>
            </w:r>
            <w:r>
              <w:rPr>
                <w:rFonts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rPr>
              <w:t>6：</w:t>
            </w:r>
            <w:r>
              <w:rPr>
                <w:rFonts w:asciiTheme="minorEastAsia" w:hAnsiTheme="minorEastAsia" w:eastAsiaTheme="minorEastAsia"/>
                <w:color w:val="000000"/>
                <w:sz w:val="24"/>
                <w:szCs w:val="24"/>
              </w:rPr>
              <w:t>00—1</w:t>
            </w:r>
            <w:r>
              <w:rPr>
                <w:rFonts w:hint="eastAsia" w:asciiTheme="minorEastAsia" w:hAnsiTheme="minorEastAsia" w:eastAsiaTheme="minorEastAsia"/>
                <w:color w:val="000000"/>
                <w:sz w:val="24"/>
                <w:szCs w:val="24"/>
              </w:rPr>
              <w:t>7：3</w:t>
            </w:r>
            <w:r>
              <w:rPr>
                <w:rFonts w:asciiTheme="minorEastAsia" w:hAnsiTheme="minorEastAsia" w:eastAsiaTheme="minorEastAsia"/>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2310" w:type="dxa"/>
            <w:vAlign w:val="center"/>
          </w:tcPr>
          <w:p>
            <w:pPr>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地点</w:t>
            </w:r>
          </w:p>
        </w:tc>
        <w:tc>
          <w:tcPr>
            <w:tcW w:w="8279" w:type="dxa"/>
            <w:vAlign w:val="center"/>
          </w:tcPr>
          <w:p>
            <w:pPr>
              <w:jc w:val="left"/>
              <w:rPr>
                <w:rFonts w:asciiTheme="minorEastAsia" w:hAnsiTheme="minorEastAsia" w:eastAsiaTheme="minorEastAsia"/>
              </w:rPr>
            </w:pPr>
            <w:r>
              <w:rPr>
                <w:rFonts w:hint="eastAsia" w:asciiTheme="minorEastAsia" w:hAnsiTheme="minorEastAsia" w:eastAsiaTheme="minorEastAsia"/>
                <w:color w:val="000000"/>
                <w:sz w:val="24"/>
                <w:szCs w:val="24"/>
              </w:rPr>
              <w:t>公司五楼会议室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上市公司</w:t>
            </w:r>
          </w:p>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接待人员</w:t>
            </w:r>
          </w:p>
        </w:tc>
        <w:tc>
          <w:tcPr>
            <w:tcW w:w="8279" w:type="dxa"/>
          </w:tcPr>
          <w:p>
            <w:pPr>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董事长：王有治                财务总监：李松</w:t>
            </w:r>
          </w:p>
          <w:p>
            <w:pPr>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董事会办公室主任：余小红      证券事务代表：金跃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vAlign w:val="center"/>
          </w:tcPr>
          <w:p>
            <w:pPr>
              <w:spacing w:line="440" w:lineRule="atLeast"/>
              <w:jc w:val="center"/>
              <w:rPr>
                <w:rFonts w:asciiTheme="minorEastAsia" w:hAnsiTheme="minorEastAsia" w:eastAsiaTheme="minorEastAsia"/>
                <w:color w:val="000000"/>
                <w:sz w:val="24"/>
                <w:szCs w:val="24"/>
              </w:rPr>
            </w:pPr>
          </w:p>
          <w:p>
            <w:pPr>
              <w:spacing w:line="440" w:lineRule="atLeast"/>
              <w:jc w:val="center"/>
              <w:rPr>
                <w:rFonts w:asciiTheme="minorEastAsia" w:hAnsiTheme="minorEastAsia" w:eastAsiaTheme="minorEastAsia"/>
                <w:color w:val="000000"/>
                <w:sz w:val="24"/>
                <w:szCs w:val="24"/>
              </w:rPr>
            </w:pPr>
          </w:p>
          <w:p>
            <w:pPr>
              <w:spacing w:line="440" w:lineRule="atLeast"/>
              <w:jc w:val="center"/>
              <w:rPr>
                <w:rFonts w:asciiTheme="minorEastAsia" w:hAnsiTheme="minorEastAsia" w:eastAsiaTheme="minorEastAsia"/>
                <w:color w:val="000000"/>
                <w:sz w:val="24"/>
                <w:szCs w:val="24"/>
              </w:rPr>
            </w:pPr>
          </w:p>
          <w:p>
            <w:pPr>
              <w:spacing w:line="440" w:lineRule="atLeast"/>
              <w:jc w:val="center"/>
              <w:rPr>
                <w:rFonts w:asciiTheme="minorEastAsia" w:hAnsiTheme="minorEastAsia" w:eastAsiaTheme="minorEastAsia"/>
                <w:color w:val="000000"/>
                <w:sz w:val="24"/>
                <w:szCs w:val="24"/>
              </w:rPr>
            </w:pPr>
          </w:p>
          <w:p>
            <w:pPr>
              <w:spacing w:line="440" w:lineRule="atLeast"/>
              <w:jc w:val="center"/>
              <w:rPr>
                <w:rFonts w:asciiTheme="minorEastAsia" w:hAnsiTheme="minorEastAsia" w:eastAsiaTheme="minorEastAsia"/>
                <w:color w:val="000000"/>
                <w:sz w:val="24"/>
                <w:szCs w:val="24"/>
              </w:rPr>
            </w:pPr>
          </w:p>
          <w:p>
            <w:pPr>
              <w:spacing w:line="440" w:lineRule="atLeast"/>
              <w:jc w:val="center"/>
              <w:rPr>
                <w:rFonts w:asciiTheme="minorEastAsia" w:hAnsiTheme="minorEastAsia" w:eastAsiaTheme="minorEastAsia"/>
                <w:color w:val="000000"/>
                <w:sz w:val="24"/>
                <w:szCs w:val="24"/>
              </w:rPr>
            </w:pPr>
          </w:p>
          <w:p>
            <w:pPr>
              <w:spacing w:line="440" w:lineRule="atLeast"/>
              <w:jc w:val="center"/>
              <w:rPr>
                <w:rFonts w:asciiTheme="minorEastAsia" w:hAnsiTheme="minorEastAsia" w:eastAsiaTheme="minorEastAsia"/>
                <w:color w:val="000000"/>
                <w:sz w:val="24"/>
                <w:szCs w:val="24"/>
              </w:rPr>
            </w:pPr>
            <w:bookmarkStart w:id="0" w:name="_GoBack"/>
            <w:bookmarkEnd w:id="0"/>
          </w:p>
          <w:p>
            <w:pPr>
              <w:spacing w:line="440" w:lineRule="atLeast"/>
              <w:jc w:val="center"/>
              <w:rPr>
                <w:rFonts w:asciiTheme="minorEastAsia" w:hAnsiTheme="minorEastAsia" w:eastAsiaTheme="minorEastAsia"/>
                <w:color w:val="000000"/>
                <w:sz w:val="24"/>
                <w:szCs w:val="24"/>
              </w:rPr>
            </w:pPr>
          </w:p>
          <w:p>
            <w:pPr>
              <w:spacing w:line="440" w:lineRule="atLeast"/>
              <w:jc w:val="center"/>
              <w:rPr>
                <w:rFonts w:asciiTheme="minorEastAsia" w:hAnsiTheme="minorEastAsia" w:eastAsiaTheme="minorEastAsia"/>
                <w:color w:val="000000"/>
                <w:sz w:val="24"/>
                <w:szCs w:val="24"/>
              </w:rPr>
            </w:pPr>
          </w:p>
          <w:p>
            <w:pPr>
              <w:spacing w:line="440" w:lineRule="atLeas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投资者关系活动</w:t>
            </w:r>
          </w:p>
          <w:p>
            <w:pPr>
              <w:spacing w:line="440" w:lineRule="atLeas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主要内容介绍</w:t>
            </w:r>
          </w:p>
          <w:p>
            <w:pPr>
              <w:spacing w:line="440" w:lineRule="atLeast"/>
              <w:jc w:val="center"/>
              <w:rPr>
                <w:rFonts w:asciiTheme="minorEastAsia" w:hAnsiTheme="minorEastAsia" w:eastAsiaTheme="minorEastAsia"/>
                <w:color w:val="000000"/>
                <w:sz w:val="24"/>
                <w:szCs w:val="24"/>
              </w:rPr>
            </w:pPr>
          </w:p>
        </w:tc>
        <w:tc>
          <w:tcPr>
            <w:tcW w:w="8279" w:type="dxa"/>
          </w:tcPr>
          <w:p>
            <w:pPr>
              <w:spacing w:line="440" w:lineRule="atLeas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硅宝科技接待人员与来访人员就公司业绩、产品运用领域、未来发展等问题进行了互动交流。</w:t>
            </w:r>
          </w:p>
          <w:p>
            <w:pPr>
              <w:spacing w:line="440" w:lineRule="atLeast"/>
              <w:ind w:firstLine="472" w:firstLineChars="196"/>
              <w:rPr>
                <w:rFonts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主要访谈内容如下：</w:t>
            </w:r>
          </w:p>
          <w:p>
            <w:pPr>
              <w:spacing w:line="440" w:lineRule="atLeast"/>
              <w:ind w:firstLine="472" w:firstLineChars="196"/>
              <w:rPr>
                <w:rFonts w:hint="eastAsia" w:asciiTheme="minorEastAsia" w:hAnsiTheme="minorEastAsia" w:eastAsiaTheme="minorEastAsia"/>
                <w:b/>
                <w:bCs/>
                <w:color w:val="000000"/>
                <w:sz w:val="24"/>
                <w:szCs w:val="24"/>
              </w:rPr>
            </w:pPr>
            <w:r>
              <w:rPr>
                <w:rFonts w:asciiTheme="minorEastAsia" w:hAnsiTheme="minorEastAsia" w:eastAsiaTheme="minorEastAsia"/>
                <w:b/>
                <w:bCs/>
                <w:color w:val="000000"/>
                <w:sz w:val="24"/>
                <w:szCs w:val="24"/>
              </w:rPr>
              <w:t>1</w:t>
            </w:r>
            <w:r>
              <w:rPr>
                <w:rFonts w:hint="eastAsia" w:asciiTheme="minorEastAsia" w:hAnsiTheme="minorEastAsia" w:eastAsiaTheme="minorEastAsia"/>
                <w:b/>
                <w:bCs/>
                <w:color w:val="000000"/>
                <w:sz w:val="24"/>
                <w:szCs w:val="24"/>
              </w:rPr>
              <w:t>、公司前三季度业绩增速较快，业绩增长主要体现在哪些领域？</w:t>
            </w:r>
          </w:p>
          <w:p>
            <w:pPr>
              <w:spacing w:line="440" w:lineRule="atLeast"/>
              <w:ind w:firstLine="472" w:firstLineChars="196"/>
              <w:rPr>
                <w:rFonts w:asciiTheme="minorEastAsia" w:hAnsiTheme="minorEastAsia" w:eastAsiaTheme="minorEastAsia"/>
                <w:bCs/>
                <w:color w:val="000000"/>
                <w:sz w:val="24"/>
                <w:szCs w:val="24"/>
              </w:rPr>
            </w:pPr>
            <w:r>
              <w:rPr>
                <w:rFonts w:hint="eastAsia" w:asciiTheme="minorEastAsia" w:hAnsiTheme="minorEastAsia" w:eastAsiaTheme="minorEastAsia"/>
                <w:b/>
                <w:bCs/>
                <w:color w:val="000000"/>
                <w:sz w:val="24"/>
                <w:szCs w:val="24"/>
              </w:rPr>
              <w:t>回复：</w:t>
            </w:r>
            <w:r>
              <w:rPr>
                <w:rFonts w:hint="eastAsia" w:asciiTheme="minorEastAsia" w:hAnsiTheme="minorEastAsia" w:eastAsiaTheme="minorEastAsia"/>
                <w:bCs/>
                <w:color w:val="000000"/>
                <w:sz w:val="24"/>
                <w:szCs w:val="24"/>
              </w:rPr>
              <w:t>2016年底至2018年10月，公司主要原材料107胶、201油价格长期持续高位，部分技术含量低、生产规模小的密封胶生产厂商被市场逐步淘汰，公司作为有机硅行业领军企业，龙头地位进一步巩固，行业集中度稳步提升。</w:t>
            </w:r>
          </w:p>
          <w:p>
            <w:pPr>
              <w:spacing w:line="440" w:lineRule="atLeast"/>
              <w:ind w:firstLine="470" w:firstLineChars="196"/>
              <w:rPr>
                <w:rFonts w:asciiTheme="minorEastAsia" w:hAnsiTheme="minorEastAsia" w:eastAsiaTheme="minorEastAsia"/>
                <w:bCs/>
                <w:color w:val="000000"/>
                <w:sz w:val="24"/>
                <w:szCs w:val="24"/>
              </w:rPr>
            </w:pPr>
            <w:r>
              <w:rPr>
                <w:rFonts w:hint="eastAsia" w:asciiTheme="minorEastAsia" w:hAnsiTheme="minorEastAsia" w:eastAsiaTheme="minorEastAsia"/>
                <w:color w:val="000000"/>
                <w:sz w:val="24"/>
                <w:szCs w:val="24"/>
              </w:rPr>
              <w:t>2019</w:t>
            </w:r>
            <w:r>
              <w:rPr>
                <w:rFonts w:hint="eastAsia" w:asciiTheme="minorEastAsia" w:hAnsiTheme="minorEastAsia" w:eastAsiaTheme="minorEastAsia"/>
                <w:bCs/>
                <w:color w:val="000000"/>
                <w:sz w:val="24"/>
                <w:szCs w:val="24"/>
              </w:rPr>
              <w:t>年前</w:t>
            </w:r>
            <w:r>
              <w:rPr>
                <w:rFonts w:hint="eastAsia" w:asciiTheme="minorEastAsia" w:hAnsiTheme="minorEastAsia" w:eastAsiaTheme="minorEastAsia"/>
                <w:b w:val="0"/>
                <w:bCs w:val="0"/>
                <w:color w:val="000000"/>
                <w:sz w:val="24"/>
                <w:szCs w:val="24"/>
              </w:rPr>
              <w:t>三季度，公</w:t>
            </w:r>
            <w:r>
              <w:rPr>
                <w:rFonts w:hint="eastAsia" w:asciiTheme="minorEastAsia" w:hAnsiTheme="minorEastAsia" w:eastAsiaTheme="minorEastAsia"/>
                <w:bCs/>
                <w:color w:val="000000"/>
                <w:sz w:val="24"/>
                <w:szCs w:val="24"/>
              </w:rPr>
              <w:t>司建筑类用胶和工业类用胶均实现较快增长。</w:t>
            </w:r>
            <w:r>
              <w:rPr>
                <w:rFonts w:asciiTheme="minorEastAsia" w:hAnsiTheme="minorEastAsia" w:eastAsiaTheme="minorEastAsia"/>
                <w:bCs/>
                <w:color w:val="000000"/>
                <w:sz w:val="24"/>
                <w:szCs w:val="24"/>
              </w:rPr>
              <w:t>其中</w:t>
            </w:r>
            <w:r>
              <w:rPr>
                <w:rFonts w:hint="eastAsia" w:asciiTheme="minorEastAsia" w:hAnsiTheme="minorEastAsia" w:eastAsiaTheme="minorEastAsia"/>
                <w:bCs/>
                <w:color w:val="000000"/>
                <w:sz w:val="24"/>
                <w:szCs w:val="24"/>
              </w:rPr>
              <w:t>，公司营业收入占比较高的是高端幕墙用胶，营业收入同比增长超过15%。近年来，随着“精装房”的持续推出，国内众多大型房地产企业更加重视包括密封胶在内的装饰装修材料的品质、品牌，公司节能门窗系列用胶凭借优异的产品性能，市场推广实现较大突破，市场占有率稳步提升，营业收入同比增长超过50%，有力推动公司建筑类用胶快速增长。</w:t>
            </w:r>
          </w:p>
          <w:p>
            <w:pPr>
              <w:spacing w:line="440" w:lineRule="atLeast"/>
              <w:ind w:firstLine="472" w:firstLineChars="196"/>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2、公司如何保持建筑类用胶的持续稳定增长？</w:t>
            </w:r>
          </w:p>
          <w:p>
            <w:pPr>
              <w:spacing w:line="440" w:lineRule="atLeast"/>
              <w:ind w:firstLine="472" w:firstLineChars="196"/>
              <w:rPr>
                <w:rFonts w:hint="eastAsia" w:eastAsia="宋体" w:asciiTheme="minorEastAsia" w:hAnsiTheme="minorEastAsia"/>
                <w:bCs/>
                <w:color w:val="000000"/>
                <w:sz w:val="24"/>
                <w:szCs w:val="24"/>
                <w:lang w:eastAsia="zh-CN"/>
              </w:rPr>
            </w:pPr>
            <w:r>
              <w:rPr>
                <w:rFonts w:hint="eastAsia" w:asciiTheme="minorEastAsia" w:hAnsiTheme="minorEastAsia" w:eastAsiaTheme="minorEastAsia"/>
                <w:b/>
                <w:bCs/>
                <w:color w:val="000000"/>
                <w:sz w:val="24"/>
                <w:szCs w:val="24"/>
              </w:rPr>
              <w:t>回复：</w:t>
            </w:r>
            <w:r>
              <w:rPr>
                <w:rFonts w:hint="eastAsia" w:asciiTheme="minorEastAsia" w:hAnsiTheme="minorEastAsia" w:eastAsiaTheme="minorEastAsia"/>
                <w:bCs/>
                <w:color w:val="000000"/>
                <w:sz w:val="24"/>
                <w:szCs w:val="24"/>
              </w:rPr>
              <w:t>目前，建筑类用胶仍是公司营业收入的主要来源。</w:t>
            </w:r>
            <w:r>
              <w:rPr>
                <w:rFonts w:asciiTheme="minorEastAsia" w:hAnsiTheme="minorEastAsia" w:eastAsiaTheme="minorEastAsia"/>
                <w:bCs/>
                <w:color w:val="000000"/>
                <w:sz w:val="24"/>
                <w:szCs w:val="24"/>
              </w:rPr>
              <w:t xml:space="preserve"> </w:t>
            </w:r>
            <w:r>
              <w:rPr>
                <w:rFonts w:hint="eastAsia" w:asciiTheme="minorEastAsia" w:hAnsiTheme="minorEastAsia" w:eastAsiaTheme="minorEastAsia"/>
                <w:bCs/>
                <w:color w:val="000000"/>
                <w:sz w:val="24"/>
                <w:szCs w:val="24"/>
              </w:rPr>
              <w:t>“硅宝”作为有机硅行业知名品牌，已成功入围万达集团、恒大地产、绿地集团、龙湖地产、世茂地产等大型房地产品牌库，未来将继续加强与大型地产企业的合作。</w:t>
            </w:r>
            <w:r>
              <w:rPr>
                <w:rFonts w:hint="eastAsia" w:asciiTheme="minorEastAsia" w:hAnsiTheme="minorEastAsia" w:eastAsiaTheme="minorEastAsia"/>
                <w:bCs/>
                <w:color w:val="000000"/>
                <w:sz w:val="24"/>
                <w:szCs w:val="24"/>
                <w:lang w:eastAsia="zh-CN"/>
              </w:rPr>
              <w:t>近年来，</w:t>
            </w:r>
            <w:r>
              <w:rPr>
                <w:rFonts w:hint="eastAsia" w:asciiTheme="minorEastAsia" w:hAnsiTheme="minorEastAsia" w:eastAsiaTheme="minorEastAsia"/>
                <w:bCs/>
                <w:color w:val="000000"/>
                <w:sz w:val="24"/>
                <w:szCs w:val="24"/>
              </w:rPr>
              <w:t>公司新增多个国家重点工程及地标性建筑案例，如北京大兴国家机场、西安丝路国际会议中心、郑州奥体中心、深圳新会展中心等</w:t>
            </w:r>
            <w:r>
              <w:rPr>
                <w:rFonts w:hint="eastAsia" w:asciiTheme="minorEastAsia" w:hAnsiTheme="minorEastAsia" w:eastAsiaTheme="minorEastAsia"/>
                <w:bCs/>
                <w:color w:val="000000"/>
                <w:sz w:val="24"/>
                <w:szCs w:val="24"/>
                <w:lang w:eastAsia="zh-CN"/>
              </w:rPr>
              <w:t>。</w:t>
            </w:r>
          </w:p>
          <w:p>
            <w:pPr>
              <w:spacing w:line="440" w:lineRule="atLeast"/>
              <w:ind w:firstLine="470" w:firstLineChars="196"/>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公司作为国家住房和城乡建设部认定的首批</w:t>
            </w:r>
            <w:r>
              <w:rPr>
                <w:rFonts w:asciiTheme="minorEastAsia" w:hAnsiTheme="minorEastAsia" w:eastAsiaTheme="minorEastAsia"/>
                <w:bCs/>
                <w:color w:val="000000"/>
                <w:sz w:val="24"/>
                <w:szCs w:val="24"/>
              </w:rPr>
              <w:t>“</w:t>
            </w:r>
            <w:r>
              <w:rPr>
                <w:rFonts w:hint="eastAsia" w:asciiTheme="minorEastAsia" w:hAnsiTheme="minorEastAsia" w:eastAsiaTheme="minorEastAsia"/>
                <w:bCs/>
                <w:color w:val="000000"/>
                <w:sz w:val="24"/>
                <w:szCs w:val="24"/>
              </w:rPr>
              <w:t>国家装配式建筑产业基地</w:t>
            </w:r>
            <w:r>
              <w:rPr>
                <w:rFonts w:asciiTheme="minorEastAsia" w:hAnsiTheme="minorEastAsia" w:eastAsiaTheme="minorEastAsia"/>
                <w:bCs/>
                <w:color w:val="000000"/>
                <w:sz w:val="24"/>
                <w:szCs w:val="24"/>
              </w:rPr>
              <w:t>”</w:t>
            </w:r>
            <w:r>
              <w:rPr>
                <w:rFonts w:hint="eastAsia" w:asciiTheme="minorEastAsia" w:hAnsiTheme="minorEastAsia" w:eastAsiaTheme="minorEastAsia"/>
                <w:bCs/>
                <w:color w:val="000000"/>
                <w:sz w:val="24"/>
                <w:szCs w:val="24"/>
              </w:rPr>
              <w:t>，目前已拥有工程专业承包壹级资质。公司产品已成功应用在北京、安徽、湖南、四川等部分城市装配式建筑、地下综合管廊等重点市政项目。根据《建筑产业现代化发展纲要》的要求，到2020年，装配式建筑占新建建筑的比例20%以上，到2025年，装配式建筑占新建建筑的比例50%以上，装配式建筑行业已进入快速发展时期，公司将紧跟市场发展与变化，保证建筑类用胶的持续稳定增长。</w:t>
            </w:r>
          </w:p>
          <w:p>
            <w:pPr>
              <w:spacing w:line="440" w:lineRule="atLeast"/>
              <w:ind w:firstLine="472" w:firstLineChars="196"/>
              <w:rPr>
                <w:rFonts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3、目前公司产能释放如何？</w:t>
            </w:r>
          </w:p>
          <w:p>
            <w:pPr>
              <w:spacing w:line="440" w:lineRule="atLeast"/>
              <w:ind w:firstLine="472" w:firstLineChars="196"/>
              <w:rPr>
                <w:rFonts w:hint="eastAsia" w:asciiTheme="minorEastAsia" w:hAnsiTheme="minorEastAsia" w:eastAsiaTheme="minorEastAsia"/>
                <w:bCs/>
                <w:color w:val="000000"/>
                <w:sz w:val="24"/>
                <w:szCs w:val="24"/>
              </w:rPr>
            </w:pPr>
            <w:r>
              <w:rPr>
                <w:rFonts w:hint="eastAsia" w:asciiTheme="minorEastAsia" w:hAnsiTheme="minorEastAsia" w:eastAsiaTheme="minorEastAsia"/>
                <w:b/>
                <w:bCs/>
                <w:color w:val="000000"/>
                <w:sz w:val="24"/>
                <w:szCs w:val="24"/>
              </w:rPr>
              <w:t>回复：</w:t>
            </w:r>
            <w:r>
              <w:rPr>
                <w:rFonts w:hint="eastAsia" w:asciiTheme="minorEastAsia" w:hAnsiTheme="minorEastAsia" w:eastAsiaTheme="minorEastAsia"/>
                <w:bCs/>
                <w:color w:val="000000"/>
                <w:sz w:val="24"/>
                <w:szCs w:val="24"/>
              </w:rPr>
              <w:t>公司2012年建成了</w:t>
            </w:r>
            <w:r>
              <w:rPr>
                <w:rFonts w:asciiTheme="minorEastAsia" w:hAnsiTheme="minorEastAsia" w:eastAsiaTheme="minorEastAsia"/>
                <w:bCs/>
                <w:color w:val="000000"/>
                <w:sz w:val="24"/>
                <w:szCs w:val="24"/>
              </w:rPr>
              <w:t>“</w:t>
            </w:r>
            <w:r>
              <w:rPr>
                <w:rFonts w:hint="eastAsia" w:asciiTheme="minorEastAsia" w:hAnsiTheme="minorEastAsia" w:eastAsiaTheme="minorEastAsia"/>
                <w:bCs/>
                <w:color w:val="000000"/>
                <w:sz w:val="24"/>
                <w:szCs w:val="24"/>
              </w:rPr>
              <w:t>3万吨/年有机硅密封胶生产基地</w:t>
            </w:r>
            <w:r>
              <w:rPr>
                <w:rFonts w:asciiTheme="minorEastAsia" w:hAnsiTheme="minorEastAsia" w:eastAsiaTheme="minorEastAsia"/>
                <w:bCs/>
                <w:color w:val="000000"/>
                <w:sz w:val="24"/>
                <w:szCs w:val="24"/>
              </w:rPr>
              <w:t>”</w:t>
            </w:r>
            <w:r>
              <w:rPr>
                <w:rFonts w:hint="eastAsia" w:asciiTheme="minorEastAsia" w:hAnsiTheme="minorEastAsia" w:eastAsiaTheme="minorEastAsia"/>
                <w:bCs/>
                <w:color w:val="000000"/>
                <w:sz w:val="24"/>
                <w:szCs w:val="24"/>
              </w:rPr>
              <w:t>，并建成国内第一条国际先进的全自动化生产线。公司占地330亩的</w:t>
            </w:r>
            <w:r>
              <w:rPr>
                <w:rFonts w:asciiTheme="minorEastAsia" w:hAnsiTheme="minorEastAsia" w:eastAsiaTheme="minorEastAsia"/>
                <w:bCs/>
                <w:color w:val="000000"/>
                <w:sz w:val="24"/>
                <w:szCs w:val="24"/>
              </w:rPr>
              <w:t>“</w:t>
            </w:r>
            <w:r>
              <w:rPr>
                <w:rFonts w:hint="eastAsia" w:asciiTheme="minorEastAsia" w:hAnsiTheme="minorEastAsia" w:eastAsiaTheme="minorEastAsia"/>
                <w:bCs/>
                <w:color w:val="000000"/>
                <w:sz w:val="24"/>
                <w:szCs w:val="24"/>
              </w:rPr>
              <w:t>年产5万吨有机硅密封材料生产基地</w:t>
            </w:r>
            <w:r>
              <w:rPr>
                <w:rFonts w:asciiTheme="minorEastAsia" w:hAnsiTheme="minorEastAsia" w:eastAsiaTheme="minorEastAsia"/>
                <w:bCs/>
                <w:color w:val="000000"/>
                <w:sz w:val="24"/>
                <w:szCs w:val="24"/>
              </w:rPr>
              <w:t>”</w:t>
            </w:r>
            <w:r>
              <w:rPr>
                <w:rFonts w:hint="eastAsia" w:asciiTheme="minorEastAsia" w:hAnsiTheme="minorEastAsia" w:eastAsiaTheme="minorEastAsia"/>
                <w:bCs/>
                <w:color w:val="000000"/>
                <w:sz w:val="24"/>
                <w:szCs w:val="24"/>
              </w:rPr>
              <w:t xml:space="preserve">于2018年基本建成，该项目的实施推动公司产品向大规模、高技术、高附加值方向发展。 </w:t>
            </w:r>
          </w:p>
          <w:p>
            <w:pPr>
              <w:spacing w:line="440" w:lineRule="atLeast"/>
              <w:ind w:firstLine="470" w:firstLineChars="196"/>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目前，公司规模化生产优势明显，设备利用率较高，生产规模居行业前列。公司将根据市场情况，逐步释放产能。</w:t>
            </w:r>
          </w:p>
          <w:p>
            <w:pPr>
              <w:spacing w:line="440" w:lineRule="atLeast"/>
              <w:ind w:firstLine="472" w:firstLineChars="196"/>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4、公司未来将重点关注的应用领域有哪些？</w:t>
            </w:r>
          </w:p>
          <w:p>
            <w:pPr>
              <w:spacing w:line="440" w:lineRule="atLeast"/>
              <w:ind w:firstLine="470" w:firstLineChars="196"/>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公司立足于有机硅行业，主营业务包括四大类：有机硅密封胶、防腐材料及工程、硅烷偶联剂、设备制造及工程服务等。未来，公司在将充分发挥有机硅橡胶的性能优势，在保证现有用胶领域的同时，重点开拓高端建筑幕墙、节能门窗、装配式建筑、电子电器、新能源、轨道交通等用胶领域。同时，锂电负极材料等也将作为公司重点拓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480" w:lineRule="atLeast"/>
              <w:rPr>
                <w:bCs/>
                <w:iCs/>
                <w:color w:val="000000"/>
                <w:sz w:val="24"/>
              </w:rPr>
            </w:pPr>
            <w:r>
              <w:rPr>
                <w:rFonts w:hint="eastAsia" w:asciiTheme="minorEastAsia" w:hAnsiTheme="minorEastAsia" w:eastAsiaTheme="minorEastAsia"/>
                <w:bCs/>
                <w:color w:val="000000"/>
                <w:sz w:val="24"/>
                <w:szCs w:val="24"/>
              </w:rPr>
              <w:t>附件清单（如</w:t>
            </w:r>
            <w:r>
              <w:rPr>
                <w:rFonts w:hint="eastAsia" w:asciiTheme="minorEastAsia" w:hAnsiTheme="minorEastAsia" w:eastAsiaTheme="minorEastAsia"/>
                <w:bCs/>
                <w:color w:val="000000"/>
                <w:sz w:val="24"/>
                <w:szCs w:val="24"/>
                <w:lang w:eastAsia="zh-CN"/>
              </w:rPr>
              <w:t>有</w:t>
            </w:r>
            <w:r>
              <w:rPr>
                <w:rFonts w:hint="eastAsia" w:asciiTheme="minorEastAsia" w:hAnsiTheme="minorEastAsia" w:eastAsiaTheme="minorEastAsia"/>
                <w:bCs/>
                <w:color w:val="000000"/>
                <w:sz w:val="24"/>
                <w:szCs w:val="24"/>
              </w:rPr>
              <w:t>）</w:t>
            </w:r>
          </w:p>
        </w:tc>
        <w:tc>
          <w:tcPr>
            <w:tcW w:w="8279" w:type="dxa"/>
            <w:tcBorders>
              <w:top w:val="single" w:color="auto" w:sz="4" w:space="0"/>
              <w:left w:val="single" w:color="auto" w:sz="4" w:space="0"/>
              <w:bottom w:val="single" w:color="auto" w:sz="4" w:space="0"/>
              <w:right w:val="single" w:color="auto" w:sz="4" w:space="0"/>
            </w:tcBorders>
            <w:noWrap w:val="0"/>
            <w:vAlign w:val="center"/>
          </w:tcPr>
          <w:p>
            <w:pPr>
              <w:spacing w:line="480" w:lineRule="atLeast"/>
              <w:rPr>
                <w:rFonts w:hint="eastAsia"/>
                <w:bCs/>
                <w:iCs/>
                <w:color w:val="000000"/>
                <w:sz w:val="24"/>
              </w:rPr>
            </w:pPr>
            <w:r>
              <w:rPr>
                <w:rFonts w:hint="eastAsia" w:hAnsi="宋体"/>
                <w:bCs/>
                <w:iCs/>
                <w:color w:val="000000"/>
                <w:sz w:val="24"/>
              </w:rPr>
              <w:t>无。</w:t>
            </w:r>
          </w:p>
        </w:tc>
      </w:tr>
    </w:tbl>
    <w:p>
      <w:pPr>
        <w:spacing w:line="220" w:lineRule="atLeast"/>
        <w:rPr>
          <w:rFonts w:asciiTheme="minorEastAsia" w:hAnsiTheme="minorEastAsia" w:eastAsiaTheme="minorEastAsia"/>
        </w:rPr>
      </w:pPr>
    </w:p>
    <w:sectPr>
      <w:pgSz w:w="11906" w:h="16838"/>
      <w:pgMar w:top="1304" w:right="1644" w:bottom="1304"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172A27"/>
    <w:rsid w:val="000318B4"/>
    <w:rsid w:val="000E5993"/>
    <w:rsid w:val="00147C00"/>
    <w:rsid w:val="00172A27"/>
    <w:rsid w:val="002807FF"/>
    <w:rsid w:val="002B2B8A"/>
    <w:rsid w:val="002D0913"/>
    <w:rsid w:val="00323B43"/>
    <w:rsid w:val="00392191"/>
    <w:rsid w:val="003D37D8"/>
    <w:rsid w:val="004075FB"/>
    <w:rsid w:val="00426133"/>
    <w:rsid w:val="004358AB"/>
    <w:rsid w:val="00457F5B"/>
    <w:rsid w:val="004C6E74"/>
    <w:rsid w:val="00694416"/>
    <w:rsid w:val="0085742B"/>
    <w:rsid w:val="00882DF9"/>
    <w:rsid w:val="008A6565"/>
    <w:rsid w:val="008B7726"/>
    <w:rsid w:val="009A243B"/>
    <w:rsid w:val="00A33177"/>
    <w:rsid w:val="00AC29B8"/>
    <w:rsid w:val="00C724AB"/>
    <w:rsid w:val="00D31D50"/>
    <w:rsid w:val="00EA1B81"/>
    <w:rsid w:val="202E48C7"/>
    <w:rsid w:val="42F96494"/>
    <w:rsid w:val="4F1B365E"/>
    <w:rsid w:val="6BC50A90"/>
    <w:rsid w:val="6F2535AC"/>
    <w:rsid w:val="78BF3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 w:type="paragraph" w:customStyle="1" w:styleId="8">
    <w:name w:val="Default"/>
    <w:unhideWhenUsed/>
    <w:uiPriority w:val="99"/>
    <w:pPr>
      <w:widowControl w:val="0"/>
      <w:autoSpaceDE w:val="0"/>
      <w:autoSpaceDN w:val="0"/>
      <w:adjustRightInd w:val="0"/>
    </w:pPr>
    <w:rPr>
      <w:rFonts w:hint="eastAsia" w:ascii="宋体" w:hAnsi="宋体" w:eastAsia="宋体" w:cstheme="minorBidi"/>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229</Words>
  <Characters>1308</Characters>
  <Lines>10</Lines>
  <Paragraphs>3</Paragraphs>
  <TotalTime>7</TotalTime>
  <ScaleCrop>false</ScaleCrop>
  <LinksUpToDate>false</LinksUpToDate>
  <CharactersWithSpaces>1534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张润华</dc:creator>
  <cp:lastModifiedBy>Administrator</cp:lastModifiedBy>
  <cp:lastPrinted>2019-11-05T09:19:00Z</cp:lastPrinted>
  <dcterms:modified xsi:type="dcterms:W3CDTF">2019-11-06T03:05:41Z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