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Times New Roman" w:hAnsi="Times New Roman"/>
          <w:bCs/>
          <w:iCs/>
          <w:color w:val="000000"/>
          <w:sz w:val="24"/>
        </w:rPr>
      </w:pPr>
      <w:r>
        <w:rPr>
          <w:rFonts w:ascii="Times New Roman" w:hAnsi="Times New Roman"/>
          <w:bCs/>
          <w:iCs/>
          <w:color w:val="000000"/>
          <w:sz w:val="24"/>
        </w:rPr>
        <w:t>证券代码：300098</w:t>
      </w:r>
      <w:r>
        <w:rPr>
          <w:rFonts w:hint="eastAsia" w:ascii="Times New Roman" w:hAnsi="Times New Roman"/>
          <w:bCs/>
          <w:iCs/>
          <w:color w:val="000000"/>
          <w:sz w:val="24"/>
        </w:rPr>
        <w:t xml:space="preserve">                                     </w:t>
      </w:r>
      <w:r>
        <w:rPr>
          <w:rFonts w:ascii="Times New Roman" w:hAnsi="Times New Roman"/>
          <w:bCs/>
          <w:iCs/>
          <w:color w:val="000000"/>
          <w:sz w:val="24"/>
        </w:rPr>
        <w:t>证券简称：高新兴</w:t>
      </w:r>
    </w:p>
    <w:p>
      <w:pPr>
        <w:spacing w:before="312" w:beforeLines="100" w:line="360" w:lineRule="auto"/>
        <w:jc w:val="center"/>
        <w:rPr>
          <w:rFonts w:ascii="Times New Roman" w:hAnsi="Times New Roman"/>
          <w:b/>
          <w:sz w:val="30"/>
          <w:szCs w:val="30"/>
        </w:rPr>
      </w:pPr>
      <w:r>
        <w:rPr>
          <w:rFonts w:ascii="Times New Roman" w:hAnsi="Times New Roman"/>
          <w:b/>
          <w:sz w:val="30"/>
          <w:szCs w:val="30"/>
        </w:rPr>
        <w:t>高新兴科技集团股份有限公司</w:t>
      </w:r>
    </w:p>
    <w:p>
      <w:pPr>
        <w:spacing w:after="312" w:afterLines="100" w:line="360" w:lineRule="auto"/>
        <w:jc w:val="center"/>
        <w:rPr>
          <w:rFonts w:ascii="Times New Roman" w:hAnsi="Times New Roman"/>
          <w:b/>
          <w:sz w:val="30"/>
          <w:szCs w:val="30"/>
        </w:rPr>
      </w:pPr>
      <w:r>
        <w:rPr>
          <w:rFonts w:ascii="Times New Roman" w:hAnsi="Times New Roman"/>
          <w:b/>
          <w:sz w:val="30"/>
          <w:szCs w:val="30"/>
        </w:rPr>
        <w:t>投资者关系活动记录表</w:t>
      </w:r>
    </w:p>
    <w:p>
      <w:pPr>
        <w:spacing w:line="400" w:lineRule="exact"/>
        <w:jc w:val="right"/>
        <w:rPr>
          <w:rFonts w:hint="eastAsia" w:ascii="Times New Roman" w:hAnsi="Times New Roman" w:eastAsia="宋体"/>
          <w:bCs/>
          <w:iCs/>
          <w:color w:val="000000"/>
          <w:sz w:val="24"/>
          <w:lang w:eastAsia="zh-CN"/>
        </w:rPr>
      </w:pPr>
      <w:r>
        <w:rPr>
          <w:rFonts w:ascii="Times New Roman" w:hAnsi="Times New Roman"/>
          <w:bCs/>
          <w:iCs/>
          <w:color w:val="000000"/>
          <w:sz w:val="24"/>
        </w:rPr>
        <w:t>编号：201900</w:t>
      </w:r>
      <w:r>
        <w:rPr>
          <w:rFonts w:hint="eastAsia" w:ascii="Times New Roman" w:hAnsi="Times New Roman"/>
          <w:bCs/>
          <w:iCs/>
          <w:color w:val="000000"/>
          <w:sz w:val="24"/>
          <w:lang w:val="en-US" w:eastAsia="zh-CN"/>
        </w:rPr>
        <w:t>9</w:t>
      </w:r>
    </w:p>
    <w:tbl>
      <w:tblPr>
        <w:tblStyle w:val="8"/>
        <w:tblW w:w="82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4"/>
        <w:gridCol w:w="490"/>
        <w:gridCol w:w="6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trPr>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iCs/>
                <w:color w:val="000000"/>
                <w:szCs w:val="21"/>
              </w:rPr>
            </w:pPr>
            <w:r>
              <w:rPr>
                <w:rFonts w:ascii="Times New Roman" w:hAnsi="Times New Roman"/>
                <w:bCs/>
                <w:iCs/>
                <w:color w:val="000000"/>
                <w:szCs w:val="21"/>
              </w:rPr>
              <w:t>投资者关系活动类别</w:t>
            </w:r>
          </w:p>
        </w:tc>
        <w:tc>
          <w:tcPr>
            <w:tcW w:w="680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210" w:leftChars="100"/>
              <w:rPr>
                <w:rFonts w:ascii="Times New Roman" w:hAnsi="Times New Roman"/>
                <w:bCs/>
                <w:iCs/>
                <w:color w:val="000000"/>
                <w:szCs w:val="21"/>
              </w:rPr>
            </w:pPr>
            <w:r>
              <w:rPr>
                <w:rFonts w:ascii="Times New Roman" w:hAnsi="Times New Roman"/>
                <w:bCs/>
                <w:iCs/>
                <w:color w:val="000000"/>
                <w:szCs w:val="21"/>
              </w:rPr>
              <w:sym w:font="Wingdings 2" w:char="0052"/>
            </w:r>
            <w:r>
              <w:rPr>
                <w:rFonts w:ascii="Times New Roman" w:hAnsi="Times New Roman"/>
                <w:szCs w:val="21"/>
              </w:rPr>
              <w:t>特定对象调研</w:t>
            </w:r>
            <w:r>
              <w:rPr>
                <w:rFonts w:hint="eastAsia" w:ascii="Times New Roman" w:hAnsi="Times New Roman"/>
                <w:szCs w:val="21"/>
              </w:rPr>
              <w:t xml:space="preserve">   </w:t>
            </w:r>
            <w:r>
              <w:rPr>
                <w:rFonts w:ascii="Times New Roman" w:hAnsi="Times New Roman"/>
                <w:bCs/>
                <w:iCs/>
                <w:color w:val="000000"/>
                <w:szCs w:val="21"/>
              </w:rPr>
              <w:sym w:font="Wingdings 2" w:char="00A3"/>
            </w:r>
            <w:r>
              <w:rPr>
                <w:rFonts w:ascii="Times New Roman" w:hAnsi="Times New Roman"/>
                <w:szCs w:val="21"/>
              </w:rPr>
              <w:t>分析师会议</w:t>
            </w:r>
          </w:p>
          <w:p>
            <w:pPr>
              <w:spacing w:line="360" w:lineRule="auto"/>
              <w:ind w:left="210" w:leftChars="100"/>
              <w:rPr>
                <w:rFonts w:ascii="Times New Roman" w:hAnsi="Times New Roman"/>
                <w:bCs/>
                <w:iCs/>
                <w:color w:val="000000"/>
                <w:szCs w:val="21"/>
              </w:rPr>
            </w:pPr>
            <w:r>
              <w:rPr>
                <w:rFonts w:ascii="Times New Roman" w:hAnsi="Times New Roman"/>
                <w:bCs/>
                <w:iCs/>
                <w:color w:val="000000"/>
                <w:szCs w:val="21"/>
              </w:rPr>
              <w:sym w:font="Wingdings 2" w:char="00A3"/>
            </w:r>
            <w:r>
              <w:rPr>
                <w:rFonts w:ascii="Times New Roman" w:hAnsi="Times New Roman"/>
                <w:szCs w:val="21"/>
              </w:rPr>
              <w:t>媒体采访</w:t>
            </w:r>
            <w:r>
              <w:rPr>
                <w:rFonts w:hint="eastAsia" w:ascii="Times New Roman" w:hAnsi="Times New Roman"/>
                <w:szCs w:val="21"/>
              </w:rPr>
              <w:t xml:space="preserve">       </w:t>
            </w:r>
            <w:r>
              <w:rPr>
                <w:rFonts w:ascii="Times New Roman" w:hAnsi="Times New Roman"/>
                <w:bCs/>
                <w:iCs/>
                <w:color w:val="000000"/>
                <w:szCs w:val="21"/>
              </w:rPr>
              <w:sym w:font="Wingdings 2" w:char="00A3"/>
            </w:r>
            <w:r>
              <w:rPr>
                <w:rFonts w:ascii="Times New Roman" w:hAnsi="Times New Roman"/>
                <w:szCs w:val="21"/>
              </w:rPr>
              <w:t>业绩说明会</w:t>
            </w:r>
          </w:p>
          <w:p>
            <w:pPr>
              <w:spacing w:line="360" w:lineRule="auto"/>
              <w:ind w:left="210" w:leftChars="100"/>
              <w:rPr>
                <w:rFonts w:ascii="Times New Roman" w:hAnsi="Times New Roman"/>
                <w:bCs/>
                <w:iCs/>
                <w:color w:val="000000"/>
                <w:szCs w:val="21"/>
              </w:rPr>
            </w:pPr>
            <w:r>
              <w:rPr>
                <w:rFonts w:ascii="Times New Roman" w:hAnsi="Times New Roman"/>
                <w:bCs/>
                <w:iCs/>
                <w:color w:val="000000"/>
                <w:szCs w:val="21"/>
              </w:rPr>
              <w:sym w:font="Wingdings 2" w:char="00A3"/>
            </w:r>
            <w:r>
              <w:rPr>
                <w:rFonts w:ascii="Times New Roman" w:hAnsi="Times New Roman"/>
                <w:szCs w:val="21"/>
              </w:rPr>
              <w:t>新闻发布会</w:t>
            </w:r>
            <w:r>
              <w:rPr>
                <w:rFonts w:hint="eastAsia" w:ascii="Times New Roman" w:hAnsi="Times New Roman"/>
                <w:szCs w:val="21"/>
              </w:rPr>
              <w:t xml:space="preserve">     </w:t>
            </w:r>
            <w:r>
              <w:rPr>
                <w:rFonts w:ascii="Times New Roman" w:hAnsi="Times New Roman"/>
                <w:bCs/>
                <w:iCs/>
                <w:color w:val="000000"/>
                <w:szCs w:val="21"/>
              </w:rPr>
              <w:sym w:font="Wingdings 2" w:char="00A3"/>
            </w:r>
            <w:r>
              <w:rPr>
                <w:rFonts w:ascii="Times New Roman" w:hAnsi="Times New Roman"/>
                <w:szCs w:val="21"/>
              </w:rPr>
              <w:t>路演活动</w:t>
            </w:r>
          </w:p>
          <w:p>
            <w:pPr>
              <w:tabs>
                <w:tab w:val="left" w:pos="2445"/>
                <w:tab w:val="center" w:pos="3199"/>
              </w:tabs>
              <w:spacing w:line="360" w:lineRule="auto"/>
              <w:ind w:left="210" w:leftChars="100"/>
              <w:rPr>
                <w:rFonts w:ascii="Times New Roman" w:hAnsi="Times New Roman"/>
                <w:bCs/>
                <w:iCs/>
                <w:color w:val="000000"/>
                <w:szCs w:val="21"/>
              </w:rPr>
            </w:pPr>
            <w:r>
              <w:rPr>
                <w:rFonts w:ascii="Times New Roman" w:hAnsi="Times New Roman"/>
                <w:bCs/>
                <w:iCs/>
                <w:color w:val="000000"/>
                <w:szCs w:val="21"/>
              </w:rPr>
              <w:sym w:font="Wingdings 2" w:char="00A3"/>
            </w:r>
            <w:r>
              <w:rPr>
                <w:rFonts w:ascii="Times New Roman" w:hAnsi="Times New Roman"/>
                <w:szCs w:val="21"/>
              </w:rPr>
              <w:t>现场参观</w:t>
            </w:r>
            <w:r>
              <w:rPr>
                <w:rFonts w:hint="eastAsia" w:ascii="Times New Roman" w:hAnsi="Times New Roman"/>
                <w:szCs w:val="21"/>
              </w:rPr>
              <w:t xml:space="preserve">       </w:t>
            </w:r>
            <w:r>
              <w:rPr>
                <w:rFonts w:ascii="Times New Roman" w:hAnsi="Times New Roman"/>
                <w:bCs/>
                <w:iCs/>
                <w:color w:val="000000"/>
                <w:szCs w:val="21"/>
              </w:rPr>
              <w:sym w:font="Wingdings 2" w:char="00A3"/>
            </w:r>
            <w:r>
              <w:rPr>
                <w:rFonts w:ascii="Times New Roman" w:hAnsi="Times New Roman"/>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ind w:left="210" w:leftChars="100"/>
              <w:rPr>
                <w:rFonts w:ascii="Times New Roman" w:hAnsi="Times New Roman"/>
                <w:szCs w:val="21"/>
              </w:rPr>
            </w:pPr>
            <w:r>
              <w:rPr>
                <w:rFonts w:ascii="Times New Roman" w:hAnsi="Times New Roman"/>
                <w:szCs w:val="21"/>
              </w:rPr>
              <w:t>参与单位名称</w:t>
            </w:r>
          </w:p>
        </w:tc>
        <w:tc>
          <w:tcPr>
            <w:tcW w:w="6809" w:type="dxa"/>
            <w:gridSpan w:val="2"/>
            <w:tcBorders>
              <w:top w:val="single" w:color="auto" w:sz="4" w:space="0"/>
              <w:left w:val="single" w:color="auto" w:sz="4" w:space="0"/>
              <w:bottom w:val="single" w:color="auto" w:sz="4" w:space="0"/>
              <w:right w:val="single" w:color="auto" w:sz="4" w:space="0"/>
            </w:tcBorders>
            <w:vAlign w:val="center"/>
          </w:tcPr>
          <w:tbl>
            <w:tblPr>
              <w:tblStyle w:val="8"/>
              <w:tblW w:w="6801" w:type="dxa"/>
              <w:tblInd w:w="-113" w:type="dxa"/>
              <w:shd w:val="clear" w:color="auto" w:fill="auto"/>
              <w:tblLayout w:type="fixed"/>
              <w:tblCellMar>
                <w:top w:w="0" w:type="dxa"/>
                <w:left w:w="0" w:type="dxa"/>
                <w:bottom w:w="0" w:type="dxa"/>
                <w:right w:w="0" w:type="dxa"/>
              </w:tblCellMar>
            </w:tblPr>
            <w:tblGrid>
              <w:gridCol w:w="3392"/>
              <w:gridCol w:w="3409"/>
            </w:tblGrid>
            <w:tr>
              <w:tblPrEx>
                <w:shd w:val="clear" w:color="auto" w:fill="auto"/>
                <w:tblCellMar>
                  <w:top w:w="0" w:type="dxa"/>
                  <w:left w:w="0" w:type="dxa"/>
                  <w:bottom w:w="0" w:type="dxa"/>
                  <w:right w:w="0" w:type="dxa"/>
                </w:tblCellMar>
              </w:tblPrEx>
              <w:trPr>
                <w:trHeight w:val="270" w:hRule="atLeast"/>
              </w:trPr>
              <w:tc>
                <w:tcPr>
                  <w:tcW w:w="3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中信建投</w:t>
                  </w:r>
                </w:p>
              </w:tc>
              <w:tc>
                <w:tcPr>
                  <w:tcW w:w="34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汤其勇</w:t>
                  </w:r>
                </w:p>
              </w:tc>
            </w:tr>
            <w:tr>
              <w:tblPrEx>
                <w:tblCellMar>
                  <w:top w:w="0" w:type="dxa"/>
                  <w:left w:w="0" w:type="dxa"/>
                  <w:bottom w:w="0" w:type="dxa"/>
                  <w:right w:w="0" w:type="dxa"/>
                </w:tblCellMar>
              </w:tblPrEx>
              <w:trPr>
                <w:trHeight w:val="270" w:hRule="atLeast"/>
              </w:trPr>
              <w:tc>
                <w:tcPr>
                  <w:tcW w:w="3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BURGUNDY</w:t>
                  </w:r>
                </w:p>
              </w:tc>
              <w:tc>
                <w:tcPr>
                  <w:tcW w:w="34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欧阳至浩</w:t>
                  </w:r>
                </w:p>
              </w:tc>
            </w:tr>
            <w:tr>
              <w:tblPrEx>
                <w:tblCellMar>
                  <w:top w:w="0" w:type="dxa"/>
                  <w:left w:w="0" w:type="dxa"/>
                  <w:bottom w:w="0" w:type="dxa"/>
                  <w:right w:w="0" w:type="dxa"/>
                </w:tblCellMar>
              </w:tblPrEx>
              <w:trPr>
                <w:trHeight w:val="270" w:hRule="atLeast"/>
              </w:trPr>
              <w:tc>
                <w:tcPr>
                  <w:tcW w:w="3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BURGUNDY</w:t>
                  </w:r>
                </w:p>
              </w:tc>
              <w:tc>
                <w:tcPr>
                  <w:tcW w:w="34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Ching Chang</w:t>
                  </w:r>
                </w:p>
              </w:tc>
            </w:tr>
            <w:tr>
              <w:tblPrEx>
                <w:tblCellMar>
                  <w:top w:w="0" w:type="dxa"/>
                  <w:left w:w="0" w:type="dxa"/>
                  <w:bottom w:w="0" w:type="dxa"/>
                  <w:right w:w="0" w:type="dxa"/>
                </w:tblCellMar>
              </w:tblPrEx>
              <w:trPr>
                <w:trHeight w:val="270" w:hRule="atLeast"/>
              </w:trPr>
              <w:tc>
                <w:tcPr>
                  <w:tcW w:w="3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华创证券</w:t>
                  </w:r>
                </w:p>
              </w:tc>
              <w:tc>
                <w:tcPr>
                  <w:tcW w:w="34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张弛</w:t>
                  </w:r>
                </w:p>
              </w:tc>
            </w:tr>
            <w:tr>
              <w:tblPrEx>
                <w:tblCellMar>
                  <w:top w:w="0" w:type="dxa"/>
                  <w:left w:w="0" w:type="dxa"/>
                  <w:bottom w:w="0" w:type="dxa"/>
                  <w:right w:w="0" w:type="dxa"/>
                </w:tblCellMar>
              </w:tblPrEx>
              <w:trPr>
                <w:trHeight w:val="270" w:hRule="atLeast"/>
              </w:trPr>
              <w:tc>
                <w:tcPr>
                  <w:tcW w:w="3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翊安投资</w:t>
                  </w:r>
                </w:p>
              </w:tc>
              <w:tc>
                <w:tcPr>
                  <w:tcW w:w="34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张益锋</w:t>
                  </w:r>
                </w:p>
              </w:tc>
            </w:tr>
            <w:tr>
              <w:tblPrEx>
                <w:tblCellMar>
                  <w:top w:w="0" w:type="dxa"/>
                  <w:left w:w="0" w:type="dxa"/>
                  <w:bottom w:w="0" w:type="dxa"/>
                  <w:right w:w="0" w:type="dxa"/>
                </w:tblCellMar>
              </w:tblPrEx>
              <w:trPr>
                <w:trHeight w:val="270" w:hRule="atLeast"/>
              </w:trPr>
              <w:tc>
                <w:tcPr>
                  <w:tcW w:w="3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国金证券</w:t>
                  </w:r>
                </w:p>
              </w:tc>
              <w:tc>
                <w:tcPr>
                  <w:tcW w:w="34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杨妙姝</w:t>
                  </w:r>
                </w:p>
              </w:tc>
            </w:tr>
            <w:tr>
              <w:tblPrEx>
                <w:tblCellMar>
                  <w:top w:w="0" w:type="dxa"/>
                  <w:left w:w="0" w:type="dxa"/>
                  <w:bottom w:w="0" w:type="dxa"/>
                  <w:right w:w="0" w:type="dxa"/>
                </w:tblCellMar>
              </w:tblPrEx>
              <w:trPr>
                <w:trHeight w:val="270" w:hRule="atLeast"/>
              </w:trPr>
              <w:tc>
                <w:tcPr>
                  <w:tcW w:w="3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国金证券</w:t>
                  </w:r>
                </w:p>
              </w:tc>
              <w:tc>
                <w:tcPr>
                  <w:tcW w:w="34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康继明</w:t>
                  </w:r>
                </w:p>
              </w:tc>
            </w:tr>
            <w:tr>
              <w:tblPrEx>
                <w:tblCellMar>
                  <w:top w:w="0" w:type="dxa"/>
                  <w:left w:w="0" w:type="dxa"/>
                  <w:bottom w:w="0" w:type="dxa"/>
                  <w:right w:w="0" w:type="dxa"/>
                </w:tblCellMar>
              </w:tblPrEx>
              <w:trPr>
                <w:trHeight w:val="270" w:hRule="atLeast"/>
              </w:trPr>
              <w:tc>
                <w:tcPr>
                  <w:tcW w:w="3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汇升投资</w:t>
                  </w:r>
                </w:p>
              </w:tc>
              <w:tc>
                <w:tcPr>
                  <w:tcW w:w="34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许先扬</w:t>
                  </w:r>
                </w:p>
              </w:tc>
            </w:tr>
            <w:tr>
              <w:tblPrEx>
                <w:tblCellMar>
                  <w:top w:w="0" w:type="dxa"/>
                  <w:left w:w="0" w:type="dxa"/>
                  <w:bottom w:w="0" w:type="dxa"/>
                  <w:right w:w="0" w:type="dxa"/>
                </w:tblCellMar>
              </w:tblPrEx>
              <w:trPr>
                <w:trHeight w:val="270" w:hRule="atLeast"/>
              </w:trPr>
              <w:tc>
                <w:tcPr>
                  <w:tcW w:w="3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盛宇</w:t>
                  </w:r>
                  <w:r>
                    <w:rPr>
                      <w:rFonts w:hint="eastAsia" w:ascii="宋体" w:hAnsi="宋体" w:cs="宋体"/>
                      <w:i w:val="0"/>
                      <w:color w:val="000000"/>
                      <w:kern w:val="0"/>
                      <w:sz w:val="22"/>
                      <w:szCs w:val="22"/>
                      <w:u w:val="none"/>
                      <w:lang w:val="en-US" w:eastAsia="zh-CN" w:bidi="ar"/>
                    </w:rPr>
                    <w:t>股权投资</w:t>
                  </w:r>
                  <w:bookmarkStart w:id="0" w:name="_GoBack"/>
                  <w:bookmarkEnd w:id="0"/>
                </w:p>
              </w:tc>
              <w:tc>
                <w:tcPr>
                  <w:tcW w:w="34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石先志</w:t>
                  </w:r>
                </w:p>
              </w:tc>
            </w:tr>
            <w:tr>
              <w:tblPrEx>
                <w:tblCellMar>
                  <w:top w:w="0" w:type="dxa"/>
                  <w:left w:w="0" w:type="dxa"/>
                  <w:bottom w:w="0" w:type="dxa"/>
                  <w:right w:w="0" w:type="dxa"/>
                </w:tblCellMar>
              </w:tblPrEx>
              <w:trPr>
                <w:trHeight w:val="270" w:hRule="atLeast"/>
              </w:trPr>
              <w:tc>
                <w:tcPr>
                  <w:tcW w:w="3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长信基金</w:t>
                  </w:r>
                </w:p>
              </w:tc>
              <w:tc>
                <w:tcPr>
                  <w:tcW w:w="34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黄向南</w:t>
                  </w:r>
                </w:p>
              </w:tc>
            </w:tr>
            <w:tr>
              <w:tblPrEx>
                <w:tblCellMar>
                  <w:top w:w="0" w:type="dxa"/>
                  <w:left w:w="0" w:type="dxa"/>
                  <w:bottom w:w="0" w:type="dxa"/>
                  <w:right w:w="0" w:type="dxa"/>
                </w:tblCellMar>
              </w:tblPrEx>
              <w:trPr>
                <w:trHeight w:val="270" w:hRule="atLeast"/>
              </w:trPr>
              <w:tc>
                <w:tcPr>
                  <w:tcW w:w="3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国金证券</w:t>
                  </w:r>
                </w:p>
              </w:tc>
              <w:tc>
                <w:tcPr>
                  <w:tcW w:w="34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龚斌</w:t>
                  </w:r>
                </w:p>
              </w:tc>
            </w:tr>
            <w:tr>
              <w:tblPrEx>
                <w:tblCellMar>
                  <w:top w:w="0" w:type="dxa"/>
                  <w:left w:w="0" w:type="dxa"/>
                  <w:bottom w:w="0" w:type="dxa"/>
                  <w:right w:w="0" w:type="dxa"/>
                </w:tblCellMar>
              </w:tblPrEx>
              <w:trPr>
                <w:trHeight w:val="270" w:hRule="atLeast"/>
              </w:trPr>
              <w:tc>
                <w:tcPr>
                  <w:tcW w:w="3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国金证券</w:t>
                  </w:r>
                </w:p>
              </w:tc>
              <w:tc>
                <w:tcPr>
                  <w:tcW w:w="34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舒启豪</w:t>
                  </w:r>
                </w:p>
              </w:tc>
            </w:tr>
            <w:tr>
              <w:tblPrEx>
                <w:tblCellMar>
                  <w:top w:w="0" w:type="dxa"/>
                  <w:left w:w="0" w:type="dxa"/>
                  <w:bottom w:w="0" w:type="dxa"/>
                  <w:right w:w="0" w:type="dxa"/>
                </w:tblCellMar>
              </w:tblPrEx>
              <w:trPr>
                <w:trHeight w:val="270" w:hRule="atLeast"/>
              </w:trPr>
              <w:tc>
                <w:tcPr>
                  <w:tcW w:w="3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国金证券</w:t>
                  </w:r>
                </w:p>
              </w:tc>
              <w:tc>
                <w:tcPr>
                  <w:tcW w:w="34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罗育辉</w:t>
                  </w:r>
                </w:p>
              </w:tc>
            </w:tr>
            <w:tr>
              <w:tblPrEx>
                <w:tblCellMar>
                  <w:top w:w="0" w:type="dxa"/>
                  <w:left w:w="0" w:type="dxa"/>
                  <w:bottom w:w="0" w:type="dxa"/>
                  <w:right w:w="0" w:type="dxa"/>
                </w:tblCellMar>
              </w:tblPrEx>
              <w:trPr>
                <w:trHeight w:val="270" w:hRule="atLeast"/>
              </w:trPr>
              <w:tc>
                <w:tcPr>
                  <w:tcW w:w="3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信达澳银基金</w:t>
                  </w:r>
                </w:p>
              </w:tc>
              <w:tc>
                <w:tcPr>
                  <w:tcW w:w="34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冯明远</w:t>
                  </w:r>
                </w:p>
              </w:tc>
            </w:tr>
          </w:tbl>
          <w:p>
            <w:pPr>
              <w:spacing w:line="360" w:lineRule="auto"/>
              <w:ind w:left="210" w:leftChars="1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iCs/>
                <w:color w:val="000000"/>
                <w:szCs w:val="21"/>
              </w:rPr>
            </w:pPr>
            <w:r>
              <w:rPr>
                <w:rFonts w:ascii="Times New Roman" w:hAnsi="Times New Roman"/>
                <w:bCs/>
                <w:iCs/>
                <w:color w:val="000000"/>
                <w:szCs w:val="21"/>
              </w:rPr>
              <w:t>时间及地点</w:t>
            </w:r>
          </w:p>
        </w:tc>
        <w:tc>
          <w:tcPr>
            <w:tcW w:w="6809" w:type="dxa"/>
            <w:gridSpan w:val="2"/>
            <w:tcBorders>
              <w:top w:val="single" w:color="auto" w:sz="4" w:space="0"/>
              <w:left w:val="single" w:color="auto" w:sz="4" w:space="0"/>
              <w:bottom w:val="single" w:color="auto" w:sz="4" w:space="0"/>
              <w:right w:val="single" w:color="auto" w:sz="4" w:space="0"/>
            </w:tcBorders>
            <w:vAlign w:val="center"/>
          </w:tcPr>
          <w:p>
            <w:pPr>
              <w:ind w:left="210" w:leftChars="100"/>
              <w:rPr>
                <w:rFonts w:hint="eastAsia" w:ascii="Times New Roman" w:hAnsi="Times New Roman"/>
                <w:bCs/>
                <w:iCs/>
                <w:color w:val="000000"/>
                <w:szCs w:val="21"/>
                <w:lang w:eastAsia="zh-CN"/>
              </w:rPr>
            </w:pPr>
            <w:r>
              <w:rPr>
                <w:rFonts w:ascii="Times New Roman" w:hAnsi="Times New Roman"/>
                <w:bCs/>
                <w:iCs/>
                <w:color w:val="000000"/>
                <w:szCs w:val="21"/>
              </w:rPr>
              <w:t>活动名称：</w:t>
            </w:r>
            <w:r>
              <w:rPr>
                <w:rFonts w:hint="eastAsia" w:ascii="Times New Roman" w:hAnsi="Times New Roman"/>
                <w:bCs/>
                <w:iCs/>
                <w:color w:val="000000"/>
                <w:szCs w:val="21"/>
                <w:lang w:eastAsia="zh-CN"/>
              </w:rPr>
              <w:t>机构投资者现场调研</w:t>
            </w:r>
          </w:p>
          <w:p>
            <w:pPr>
              <w:ind w:firstLine="210" w:firstLineChars="100"/>
              <w:rPr>
                <w:rFonts w:hint="eastAsia" w:ascii="Times New Roman" w:hAnsi="Times New Roman"/>
                <w:bCs/>
                <w:iCs/>
                <w:color w:val="000000"/>
                <w:szCs w:val="21"/>
                <w:lang w:val="en-US" w:eastAsia="zh-CN"/>
              </w:rPr>
            </w:pPr>
            <w:r>
              <w:rPr>
                <w:rFonts w:ascii="Times New Roman" w:hAnsi="Times New Roman"/>
                <w:bCs/>
                <w:iCs/>
                <w:color w:val="000000"/>
                <w:szCs w:val="21"/>
              </w:rPr>
              <w:t>时间：2019年</w:t>
            </w:r>
            <w:r>
              <w:rPr>
                <w:rFonts w:hint="eastAsia" w:ascii="Times New Roman" w:hAnsi="Times New Roman"/>
                <w:bCs/>
                <w:iCs/>
                <w:color w:val="000000"/>
                <w:szCs w:val="21"/>
                <w:lang w:val="en-US" w:eastAsia="zh-CN"/>
              </w:rPr>
              <w:t>11</w:t>
            </w:r>
            <w:r>
              <w:rPr>
                <w:rFonts w:ascii="Times New Roman" w:hAnsi="Times New Roman"/>
                <w:bCs/>
                <w:iCs/>
                <w:color w:val="000000"/>
                <w:szCs w:val="21"/>
              </w:rPr>
              <w:t>月</w:t>
            </w:r>
            <w:r>
              <w:rPr>
                <w:rFonts w:hint="eastAsia" w:ascii="Times New Roman" w:hAnsi="Times New Roman"/>
                <w:bCs/>
                <w:iCs/>
                <w:color w:val="000000"/>
                <w:szCs w:val="21"/>
                <w:lang w:val="en-US" w:eastAsia="zh-CN"/>
              </w:rPr>
              <w:t>5</w:t>
            </w:r>
            <w:r>
              <w:rPr>
                <w:rFonts w:ascii="Times New Roman" w:hAnsi="Times New Roman"/>
                <w:bCs/>
                <w:iCs/>
                <w:color w:val="000000"/>
                <w:szCs w:val="21"/>
              </w:rPr>
              <w:t>日</w:t>
            </w:r>
            <w:r>
              <w:rPr>
                <w:rFonts w:hint="eastAsia" w:ascii="Times New Roman" w:hAnsi="Times New Roman"/>
                <w:bCs/>
                <w:iCs/>
                <w:color w:val="000000"/>
                <w:szCs w:val="21"/>
                <w:lang w:val="en-US" w:eastAsia="zh-CN"/>
              </w:rPr>
              <w:t>10:00-11:30</w:t>
            </w:r>
          </w:p>
          <w:p>
            <w:pPr>
              <w:ind w:left="210" w:leftChars="100"/>
              <w:rPr>
                <w:rFonts w:hint="eastAsia" w:ascii="Times New Roman" w:hAnsi="Times New Roman"/>
                <w:bCs/>
                <w:iCs/>
                <w:color w:val="000000"/>
                <w:szCs w:val="21"/>
                <w:lang w:val="en-US" w:eastAsia="zh-CN"/>
              </w:rPr>
            </w:pPr>
            <w:r>
              <w:rPr>
                <w:rFonts w:hint="eastAsia" w:ascii="Times New Roman" w:hAnsi="Times New Roman"/>
                <w:bCs/>
                <w:iCs/>
                <w:color w:val="000000"/>
                <w:szCs w:val="21"/>
                <w:lang w:val="en-US" w:eastAsia="zh-CN"/>
              </w:rPr>
              <w:t xml:space="preserve">      2019年11月6日10:00-11:30</w:t>
            </w:r>
          </w:p>
          <w:p>
            <w:pPr>
              <w:ind w:left="210" w:leftChars="100"/>
              <w:rPr>
                <w:rFonts w:hint="eastAsia" w:ascii="Times New Roman" w:hAnsi="Times New Roman" w:eastAsia="宋体"/>
                <w:bCs/>
                <w:iCs/>
                <w:color w:val="000000"/>
                <w:szCs w:val="21"/>
                <w:lang w:eastAsia="zh-CN"/>
              </w:rPr>
            </w:pPr>
            <w:r>
              <w:rPr>
                <w:rFonts w:ascii="Times New Roman" w:hAnsi="Times New Roman"/>
                <w:bCs/>
                <w:iCs/>
                <w:color w:val="000000"/>
                <w:szCs w:val="21"/>
              </w:rPr>
              <w:t>地点：</w:t>
            </w:r>
            <w:r>
              <w:rPr>
                <w:rFonts w:hint="eastAsia" w:ascii="Times New Roman" w:hAnsi="Times New Roman"/>
                <w:bCs/>
                <w:iCs/>
                <w:color w:val="000000"/>
                <w:szCs w:val="21"/>
                <w:lang w:eastAsia="zh-CN"/>
              </w:rPr>
              <w:t>集团本部会议室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iCs/>
                <w:color w:val="000000"/>
                <w:szCs w:val="21"/>
              </w:rPr>
            </w:pPr>
            <w:r>
              <w:rPr>
                <w:rFonts w:ascii="Times New Roman" w:hAnsi="Times New Roman"/>
                <w:bCs/>
                <w:iCs/>
                <w:color w:val="000000"/>
                <w:szCs w:val="21"/>
              </w:rPr>
              <w:t>上市公司接待人员姓名</w:t>
            </w:r>
          </w:p>
        </w:tc>
        <w:tc>
          <w:tcPr>
            <w:tcW w:w="6809" w:type="dxa"/>
            <w:gridSpan w:val="2"/>
            <w:tcBorders>
              <w:top w:val="single" w:color="auto" w:sz="4" w:space="0"/>
              <w:left w:val="single" w:color="auto" w:sz="4" w:space="0"/>
              <w:bottom w:val="single" w:color="auto" w:sz="4" w:space="0"/>
              <w:right w:val="single" w:color="auto" w:sz="4" w:space="0"/>
            </w:tcBorders>
            <w:vAlign w:val="center"/>
          </w:tcPr>
          <w:p>
            <w:pPr>
              <w:ind w:left="210" w:leftChars="100"/>
              <w:rPr>
                <w:rFonts w:hint="default" w:ascii="Times New Roman" w:hAnsi="Times New Roman" w:eastAsia="宋体" w:cs="Times New Roman"/>
                <w:bCs/>
                <w:iCs/>
                <w:color w:val="000000"/>
                <w:sz w:val="21"/>
                <w:szCs w:val="21"/>
              </w:rPr>
            </w:pPr>
            <w:r>
              <w:rPr>
                <w:rFonts w:hint="default" w:ascii="Times New Roman" w:hAnsi="Times New Roman" w:eastAsia="宋体" w:cs="Times New Roman"/>
                <w:bCs/>
                <w:iCs/>
                <w:color w:val="000000"/>
                <w:sz w:val="21"/>
                <w:szCs w:val="21"/>
              </w:rPr>
              <w:t>高新兴科技集团：</w:t>
            </w:r>
          </w:p>
          <w:p>
            <w:pPr>
              <w:ind w:left="210" w:leftChars="100"/>
              <w:rPr>
                <w:rFonts w:hint="default" w:ascii="Times New Roman" w:hAnsi="Times New Roman" w:eastAsia="宋体" w:cs="Times New Roman"/>
                <w:bCs/>
                <w:iCs/>
                <w:color w:val="000000"/>
                <w:sz w:val="21"/>
                <w:szCs w:val="21"/>
              </w:rPr>
            </w:pPr>
            <w:r>
              <w:rPr>
                <w:rFonts w:hint="default" w:ascii="Times New Roman" w:hAnsi="Times New Roman" w:eastAsia="宋体" w:cs="Times New Roman"/>
                <w:bCs/>
                <w:iCs/>
                <w:color w:val="000000"/>
                <w:sz w:val="21"/>
                <w:szCs w:val="21"/>
              </w:rPr>
              <w:t>执行副总裁、董秘 陈婧；证券事务代表 黄璨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6" w:hRule="atLeast"/>
        </w:trPr>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iCs/>
                <w:color w:val="000000"/>
                <w:szCs w:val="21"/>
              </w:rPr>
            </w:pPr>
            <w:r>
              <w:rPr>
                <w:rFonts w:ascii="Times New Roman" w:hAnsi="Times New Roman"/>
                <w:bCs/>
                <w:iCs/>
                <w:color w:val="000000"/>
                <w:szCs w:val="21"/>
              </w:rPr>
              <w:t>投资者关系活动主要内容</w:t>
            </w:r>
          </w:p>
        </w:tc>
        <w:tc>
          <w:tcPr>
            <w:tcW w:w="6809" w:type="dxa"/>
            <w:gridSpan w:val="2"/>
            <w:tcBorders>
              <w:top w:val="single" w:color="auto" w:sz="4" w:space="0"/>
              <w:left w:val="single" w:color="auto" w:sz="4" w:space="0"/>
              <w:bottom w:val="single" w:color="auto" w:sz="4" w:space="0"/>
              <w:right w:val="single" w:color="auto" w:sz="4" w:space="0"/>
            </w:tcBorders>
          </w:tcPr>
          <w:p>
            <w:pPr>
              <w:numPr>
                <w:ilvl w:val="0"/>
                <w:numId w:val="1"/>
              </w:numP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lang w:eastAsia="zh-CN"/>
              </w:rPr>
              <w:t>公司展厅参观</w:t>
            </w:r>
          </w:p>
          <w:p>
            <w:pPr>
              <w:ind w:left="210" w:leftChars="100" w:firstLine="420" w:firstLineChars="200"/>
              <w:rPr>
                <w:rFonts w:hint="default" w:ascii="Times New Roman" w:hAnsi="Times New Roman" w:eastAsia="宋体" w:cs="Times New Roman"/>
                <w:bCs/>
                <w:iCs/>
                <w:color w:val="000000"/>
                <w:sz w:val="21"/>
                <w:szCs w:val="21"/>
                <w:lang w:eastAsia="zh-CN"/>
              </w:rPr>
            </w:pPr>
            <w:r>
              <w:rPr>
                <w:rFonts w:hint="default" w:ascii="Times New Roman" w:hAnsi="Times New Roman" w:eastAsia="宋体" w:cs="Times New Roman"/>
                <w:bCs/>
                <w:iCs/>
                <w:color w:val="000000"/>
                <w:sz w:val="21"/>
                <w:szCs w:val="21"/>
                <w:lang w:eastAsia="zh-CN"/>
              </w:rPr>
              <w:t>重点参观公司无线通信模组、车联网前</w:t>
            </w:r>
            <w:r>
              <w:rPr>
                <w:rFonts w:hint="eastAsia" w:ascii="Times New Roman" w:hAnsi="Times New Roman" w:cs="Times New Roman"/>
                <w:bCs/>
                <w:iCs/>
                <w:color w:val="000000"/>
                <w:sz w:val="21"/>
                <w:szCs w:val="21"/>
                <w:lang w:val="en-US" w:eastAsia="zh-CN"/>
              </w:rPr>
              <w:t>/</w:t>
            </w:r>
            <w:r>
              <w:rPr>
                <w:rFonts w:hint="default" w:ascii="Times New Roman" w:hAnsi="Times New Roman" w:eastAsia="宋体" w:cs="Times New Roman"/>
                <w:bCs/>
                <w:iCs/>
                <w:color w:val="000000"/>
                <w:sz w:val="21"/>
                <w:szCs w:val="21"/>
                <w:lang w:eastAsia="zh-CN"/>
              </w:rPr>
              <w:t>后装产品、汽车电子标识、</w:t>
            </w:r>
            <w:r>
              <w:rPr>
                <w:rFonts w:hint="default" w:ascii="Times New Roman" w:hAnsi="Times New Roman" w:eastAsia="宋体" w:cs="Times New Roman"/>
                <w:bCs/>
                <w:iCs/>
                <w:color w:val="000000"/>
                <w:sz w:val="21"/>
                <w:szCs w:val="21"/>
                <w:lang w:val="en-US" w:eastAsia="zh-CN"/>
              </w:rPr>
              <w:t>RSU</w:t>
            </w:r>
            <w:r>
              <w:rPr>
                <w:rFonts w:hint="default" w:ascii="Times New Roman" w:hAnsi="Times New Roman" w:eastAsia="宋体" w:cs="Times New Roman"/>
                <w:bCs/>
                <w:iCs/>
                <w:color w:val="000000"/>
                <w:sz w:val="21"/>
                <w:szCs w:val="21"/>
                <w:lang w:eastAsia="zh-CN"/>
              </w:rPr>
              <w:t>路侧设备、公安视音频一体化管理系统及“明镜”</w:t>
            </w:r>
            <w:r>
              <w:rPr>
                <w:rFonts w:hint="eastAsia" w:ascii="Times New Roman" w:hAnsi="Times New Roman" w:cs="Times New Roman"/>
                <w:bCs/>
                <w:iCs/>
                <w:color w:val="000000"/>
                <w:sz w:val="21"/>
                <w:szCs w:val="21"/>
                <w:lang w:eastAsia="zh-CN"/>
              </w:rPr>
              <w:t>、</w:t>
            </w:r>
            <w:r>
              <w:rPr>
                <w:rFonts w:hint="default" w:ascii="Times New Roman" w:hAnsi="Times New Roman" w:eastAsia="宋体" w:cs="Times New Roman"/>
                <w:bCs/>
                <w:iCs/>
                <w:color w:val="000000"/>
                <w:sz w:val="21"/>
                <w:szCs w:val="21"/>
                <w:lang w:eastAsia="zh-CN"/>
              </w:rPr>
              <w:t>“明视”执法规范化系列产品。</w:t>
            </w:r>
          </w:p>
          <w:p>
            <w:pPr>
              <w:ind w:left="210" w:leftChars="100" w:firstLine="420" w:firstLineChars="200"/>
              <w:rPr>
                <w:rFonts w:hint="default" w:ascii="Times New Roman" w:hAnsi="Times New Roman" w:eastAsia="宋体" w:cs="Times New Roman"/>
                <w:bCs/>
                <w:iCs/>
                <w:color w:val="000000"/>
                <w:sz w:val="21"/>
                <w:szCs w:val="21"/>
                <w:lang w:eastAsia="zh-CN"/>
              </w:rPr>
            </w:pPr>
          </w:p>
          <w:p>
            <w:pPr>
              <w:numPr>
                <w:ilvl w:val="0"/>
                <w:numId w:val="1"/>
              </w:numP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公司核心战略及业务发展情况</w:t>
            </w:r>
            <w:r>
              <w:rPr>
                <w:rFonts w:hint="default" w:ascii="Times New Roman" w:hAnsi="Times New Roman" w:eastAsia="宋体" w:cs="Times New Roman"/>
                <w:b/>
                <w:bCs/>
                <w:sz w:val="21"/>
                <w:szCs w:val="21"/>
                <w:lang w:eastAsia="zh-CN"/>
              </w:rPr>
              <w:t>介绍</w:t>
            </w:r>
          </w:p>
          <w:p>
            <w:pPr>
              <w:ind w:left="210" w:leftChars="100" w:firstLine="420" w:firstLineChars="200"/>
              <w:rPr>
                <w:rFonts w:hint="default" w:ascii="Times New Roman" w:hAnsi="Times New Roman" w:eastAsia="宋体" w:cs="Times New Roman"/>
                <w:bCs/>
                <w:iCs/>
                <w:color w:val="000000"/>
                <w:sz w:val="21"/>
                <w:szCs w:val="21"/>
                <w:lang w:eastAsia="zh-CN"/>
              </w:rPr>
            </w:pPr>
            <w:r>
              <w:rPr>
                <w:rFonts w:hint="default" w:ascii="Times New Roman" w:hAnsi="Times New Roman" w:eastAsia="宋体" w:cs="Times New Roman"/>
                <w:bCs/>
                <w:iCs/>
                <w:color w:val="000000"/>
                <w:sz w:val="21"/>
                <w:szCs w:val="21"/>
                <w:lang w:eastAsia="zh-CN"/>
              </w:rPr>
              <w:t>2019年度公司持续聚焦车联网和公安执法规范化两大业务主航道，围绕两大业务加强相关技术和产品研发投入，打造核心竞争力，持续积淀、提升技术和产品能力。</w:t>
            </w:r>
          </w:p>
          <w:p>
            <w:pPr>
              <w:ind w:left="210" w:leftChars="100" w:firstLine="420" w:firstLineChars="200"/>
              <w:rPr>
                <w:rFonts w:hint="default" w:ascii="Times New Roman" w:hAnsi="Times New Roman" w:eastAsia="宋体" w:cs="Times New Roman"/>
                <w:bCs/>
                <w:iCs/>
                <w:color w:val="000000"/>
                <w:sz w:val="21"/>
                <w:szCs w:val="21"/>
                <w:lang w:eastAsia="zh-CN"/>
              </w:rPr>
            </w:pPr>
            <w:r>
              <w:rPr>
                <w:rFonts w:hint="default" w:ascii="Times New Roman" w:hAnsi="Times New Roman" w:eastAsia="宋体" w:cs="Times New Roman"/>
                <w:bCs/>
                <w:iCs/>
                <w:color w:val="000000"/>
                <w:sz w:val="21"/>
                <w:szCs w:val="21"/>
                <w:lang w:eastAsia="zh-CN"/>
              </w:rPr>
              <w:t>在车联网领域，车联网产品线清晰，车联网解决方案具有完备的“端+云”技术架构。</w:t>
            </w:r>
          </w:p>
          <w:p>
            <w:pPr>
              <w:ind w:left="210" w:leftChars="100" w:firstLine="420" w:firstLineChars="200"/>
              <w:rPr>
                <w:rFonts w:hint="default" w:ascii="Times New Roman" w:hAnsi="Times New Roman" w:eastAsia="宋体" w:cs="Times New Roman"/>
                <w:bCs/>
                <w:iCs/>
                <w:color w:val="000000"/>
                <w:sz w:val="21"/>
                <w:szCs w:val="21"/>
                <w:lang w:eastAsia="zh-CN"/>
              </w:rPr>
            </w:pPr>
            <w:r>
              <w:rPr>
                <w:rFonts w:hint="default" w:ascii="Times New Roman" w:hAnsi="Times New Roman" w:eastAsia="宋体" w:cs="Times New Roman"/>
                <w:bCs/>
                <w:iCs/>
                <w:color w:val="000000"/>
                <w:sz w:val="21"/>
                <w:szCs w:val="21"/>
                <w:lang w:eastAsia="zh-CN"/>
              </w:rPr>
              <w:t>在车联网前后装领域，已形成海外+国内市场优势壁垒，实现国外运营商和国内车厂部署的突出优势。后装OBD产品与更多海外运营商达成供应关系，持续拓展欧洲及东南亚等地区运营商；前装 T-Box进入更多国内整车厂商，争取达成与国内外T1供应商的合作，为国际一流车厂提供产品和服务。公司正在研发基于高通平台的车规级5G+V2X模组，是高通全球首个阿尔法客户，预计是全球首批5G C-V2X的商用落地项目。公司依托现有车联网终端和电子车牌相关技术，向C-V2X车载设备和路侧设备布局，把握从4G到5G时代C-V2X带来的行业机遇。</w:t>
            </w:r>
          </w:p>
          <w:p>
            <w:pPr>
              <w:ind w:left="210" w:leftChars="100" w:firstLine="420" w:firstLineChars="200"/>
              <w:rPr>
                <w:rFonts w:hint="default" w:ascii="Times New Roman" w:hAnsi="Times New Roman" w:eastAsia="宋体" w:cs="Times New Roman"/>
                <w:bCs/>
                <w:iCs/>
                <w:color w:val="000000"/>
                <w:sz w:val="21"/>
                <w:szCs w:val="21"/>
                <w:lang w:eastAsia="zh-CN"/>
              </w:rPr>
            </w:pPr>
            <w:r>
              <w:rPr>
                <w:rFonts w:hint="default" w:ascii="Times New Roman" w:hAnsi="Times New Roman" w:eastAsia="宋体" w:cs="Times New Roman"/>
                <w:bCs/>
                <w:iCs/>
                <w:color w:val="000000"/>
                <w:sz w:val="21"/>
                <w:szCs w:val="21"/>
                <w:lang w:eastAsia="zh-CN"/>
              </w:rPr>
              <w:t>在公安执法规范化业务上，产品体系已经成熟，公司以“国内执法规范化第一品牌”战略目标为指导，积极开拓以智慧执法体系为核心的执法规范化系列产品和解决方案。成功拿下了多个区域性办案区执法规范化项目，在多个地级市开通了试验局，多个省份成功建立了样板点，具备了较好的销售规模和市场基础，助力70周年国庆阅兵期间各项安保工作及其他重大活动，树立了优质的行业品牌形象。</w:t>
            </w:r>
          </w:p>
          <w:p>
            <w:pPr>
              <w:ind w:left="210" w:leftChars="100" w:firstLine="420" w:firstLineChars="200"/>
              <w:rPr>
                <w:rFonts w:hint="default" w:ascii="Times New Roman" w:hAnsi="Times New Roman" w:eastAsia="宋体" w:cs="Times New Roman"/>
                <w:sz w:val="21"/>
                <w:szCs w:val="21"/>
                <w:lang w:eastAsia="zh-CN"/>
              </w:rPr>
            </w:pPr>
          </w:p>
          <w:p>
            <w:pPr>
              <w:numPr>
                <w:ilvl w:val="0"/>
                <w:numId w:val="1"/>
              </w:numPr>
              <w:rPr>
                <w:rFonts w:hint="default" w:ascii="Times New Roman" w:hAnsi="Times New Roman" w:eastAsia="宋体" w:cs="Times New Roman"/>
                <w:b/>
                <w:iCs/>
                <w:color w:val="000000"/>
                <w:sz w:val="21"/>
                <w:szCs w:val="21"/>
              </w:rPr>
            </w:pPr>
            <w:r>
              <w:rPr>
                <w:rFonts w:hint="default" w:ascii="Times New Roman" w:hAnsi="Times New Roman" w:eastAsia="宋体" w:cs="Times New Roman"/>
                <w:b/>
                <w:iCs/>
                <w:color w:val="000000"/>
                <w:sz w:val="21"/>
                <w:szCs w:val="21"/>
                <w:lang w:eastAsia="zh-CN"/>
              </w:rPr>
              <w:t>投资者交流</w:t>
            </w:r>
          </w:p>
          <w:p>
            <w:pPr>
              <w:numPr>
                <w:ilvl w:val="0"/>
                <w:numId w:val="2"/>
              </w:numPr>
              <w:spacing w:line="360" w:lineRule="auto"/>
              <w:ind w:left="845"/>
              <w:rPr>
                <w:rFonts w:hint="default" w:ascii="Times New Roman" w:hAnsi="Times New Roman" w:eastAsia="宋体" w:cs="Times New Roman"/>
                <w:b/>
                <w:iCs/>
                <w:color w:val="000000"/>
                <w:sz w:val="21"/>
                <w:szCs w:val="21"/>
              </w:rPr>
            </w:pPr>
            <w:r>
              <w:rPr>
                <w:rFonts w:hint="default" w:ascii="Times New Roman" w:hAnsi="Times New Roman" w:eastAsia="宋体" w:cs="Times New Roman"/>
                <w:b/>
                <w:iCs/>
                <w:color w:val="000000"/>
                <w:sz w:val="21"/>
                <w:szCs w:val="21"/>
              </w:rPr>
              <w:t>公司</w:t>
            </w:r>
            <w:r>
              <w:rPr>
                <w:rFonts w:hint="default" w:ascii="Times New Roman" w:hAnsi="Times New Roman" w:eastAsia="宋体" w:cs="Times New Roman"/>
                <w:b/>
                <w:iCs/>
                <w:color w:val="000000"/>
                <w:sz w:val="21"/>
                <w:szCs w:val="21"/>
                <w:lang w:eastAsia="zh-CN"/>
              </w:rPr>
              <w:t>目前</w:t>
            </w:r>
            <w:r>
              <w:rPr>
                <w:rFonts w:hint="default" w:ascii="Times New Roman" w:hAnsi="Times New Roman" w:eastAsia="宋体" w:cs="Times New Roman"/>
                <w:b/>
                <w:iCs/>
                <w:color w:val="000000"/>
                <w:sz w:val="21"/>
                <w:szCs w:val="21"/>
                <w:lang w:val="en-US" w:eastAsia="zh-CN"/>
              </w:rPr>
              <w:t>5G模组进展如何？</w:t>
            </w:r>
          </w:p>
          <w:p>
            <w:pPr>
              <w:ind w:left="210" w:leftChars="10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公司在</w:t>
            </w:r>
            <w:r>
              <w:rPr>
                <w:rFonts w:hint="default" w:ascii="Times New Roman" w:hAnsi="Times New Roman" w:eastAsia="宋体" w:cs="Times New Roman"/>
                <w:sz w:val="21"/>
                <w:szCs w:val="21"/>
                <w:lang w:eastAsia="zh-CN"/>
              </w:rPr>
              <w:t>今年</w:t>
            </w:r>
            <w:r>
              <w:rPr>
                <w:rFonts w:hint="default" w:ascii="Times New Roman" w:hAnsi="Times New Roman" w:eastAsia="宋体" w:cs="Times New Roman"/>
                <w:sz w:val="21"/>
                <w:szCs w:val="21"/>
                <w:lang w:val="en-US" w:eastAsia="zh-CN"/>
              </w:rPr>
              <w:t>6月已</w:t>
            </w:r>
            <w:r>
              <w:rPr>
                <w:rFonts w:hint="default" w:ascii="Times New Roman" w:hAnsi="Times New Roman" w:eastAsia="宋体" w:cs="Times New Roman"/>
                <w:sz w:val="21"/>
                <w:szCs w:val="21"/>
              </w:rPr>
              <w:t>推出基于Qualcomm SDX55芯片平台开发，支持全球主要地区和运营商的5G商用网络频段</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可以应用于包括车联网、视频监控、AR、无人机等在内的多类型终端的5G模组GM800</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GM801。</w:t>
            </w:r>
          </w:p>
          <w:p>
            <w:pPr>
              <w:ind w:left="210" w:leftChars="100" w:firstLine="420" w:firstLineChars="20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公司正在研发基于高通SDX55 Auto(SA515M)平台的车规级5G+V2X模组，是高通全球首个阿尔法客户，预计是全球首批5G C-V2X的商用落地项目。</w:t>
            </w:r>
          </w:p>
          <w:p>
            <w:pPr>
              <w:numPr>
                <w:ilvl w:val="0"/>
                <w:numId w:val="2"/>
              </w:numPr>
              <w:spacing w:line="360" w:lineRule="auto"/>
              <w:ind w:left="845"/>
              <w:rPr>
                <w:rFonts w:hint="default" w:ascii="Times New Roman" w:hAnsi="Times New Roman" w:eastAsia="宋体" w:cs="Times New Roman"/>
                <w:b/>
                <w:iCs/>
                <w:color w:val="000000"/>
                <w:sz w:val="21"/>
                <w:szCs w:val="21"/>
                <w:lang w:val="en-US" w:eastAsia="zh-CN"/>
              </w:rPr>
            </w:pPr>
            <w:r>
              <w:rPr>
                <w:rFonts w:hint="default" w:ascii="Times New Roman" w:hAnsi="Times New Roman" w:eastAsia="宋体" w:cs="Times New Roman"/>
                <w:b/>
                <w:iCs/>
                <w:color w:val="000000"/>
                <w:sz w:val="21"/>
                <w:szCs w:val="21"/>
                <w:lang w:val="en-US" w:eastAsia="zh-CN"/>
              </w:rPr>
              <w:t>公司的车联网整体战略布局</w:t>
            </w:r>
          </w:p>
          <w:p>
            <w:pPr>
              <w:ind w:left="210" w:leftChars="100"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作为目前国内唯一业务打通车厂、智能交通、5G通信、电子车牌、人工智能的车联网企业，公司近年来大力投入车联网领域，以自身在车联网设备、交通管控以及汽车电子标识的经验优势和技术实力，实现“人-车-路-网-云”高度协同。</w:t>
            </w:r>
          </w:p>
          <w:p>
            <w:pPr>
              <w:ind w:left="210" w:leftChars="100"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公司车联网总体架构可以分为四层：终端设备层、路侧设备层、平台层、应用层。整个解决方案围绕“人-车-路-网-云”展开，以实现车与路的实时信息交换，从而支持智慧交通的的车路协同应用场景。</w:t>
            </w:r>
          </w:p>
          <w:p>
            <w:pPr>
              <w:ind w:left="210" w:leftChars="100"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产品主要包括车联网产品线、电子车牌产品线，这些产品线均包含了前端硬件和后端平台，主要有OBD、OBU、T-BOX、电子车牌等产品。2019年公司拓展C-V2X业务，结合智慧交通全线产品，依托现有车联网终端和电子车牌相关技术，向C-V2X车载设备和路侧设备布局。</w:t>
            </w:r>
          </w:p>
          <w:p>
            <w:pPr>
              <w:ind w:left="210" w:leftChars="100"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公司紧抓5G商用的重大战略机遇，以5G引领、智享出行为愿景，打造人-车-路-网-云一体化的未来智慧出行新生态。</w:t>
            </w:r>
          </w:p>
          <w:p>
            <w:pPr>
              <w:numPr>
                <w:ilvl w:val="0"/>
                <w:numId w:val="2"/>
              </w:numPr>
              <w:spacing w:line="360" w:lineRule="auto"/>
              <w:ind w:left="845"/>
              <w:rPr>
                <w:rFonts w:hint="default" w:ascii="Times New Roman" w:hAnsi="Times New Roman" w:eastAsia="宋体" w:cs="Times New Roman"/>
                <w:b/>
                <w:iCs/>
                <w:color w:val="000000"/>
                <w:sz w:val="21"/>
                <w:szCs w:val="21"/>
                <w:lang w:val="en-US" w:eastAsia="zh-CN"/>
              </w:rPr>
            </w:pPr>
            <w:r>
              <w:rPr>
                <w:rFonts w:hint="default" w:ascii="Times New Roman" w:hAnsi="Times New Roman" w:eastAsia="宋体" w:cs="Times New Roman"/>
                <w:b/>
                <w:iCs/>
                <w:color w:val="000000"/>
                <w:sz w:val="21"/>
                <w:szCs w:val="21"/>
                <w:lang w:val="en-US" w:eastAsia="zh-CN"/>
              </w:rPr>
              <w:t>公司前三季度营业收入同比下降的原因？</w:t>
            </w:r>
          </w:p>
          <w:p>
            <w:pPr>
              <w:numPr>
                <w:ilvl w:val="-1"/>
                <w:numId w:val="0"/>
              </w:numPr>
              <w:ind w:leftChars="100" w:firstLine="420" w:firstLineChars="200"/>
              <w:rPr>
                <w:rFonts w:hint="default" w:ascii="Times New Roman" w:hAnsi="Times New Roman" w:eastAsia="宋体" w:cs="Times New Roman"/>
                <w:bCs/>
                <w:iCs/>
                <w:color w:val="000000"/>
                <w:sz w:val="21"/>
                <w:szCs w:val="21"/>
                <w:lang w:val="en-US" w:eastAsia="zh-CN"/>
              </w:rPr>
            </w:pPr>
            <w:r>
              <w:rPr>
                <w:rFonts w:hint="default" w:ascii="Times New Roman" w:hAnsi="Times New Roman" w:eastAsia="宋体" w:cs="Times New Roman"/>
                <w:bCs/>
                <w:iCs/>
                <w:color w:val="000000"/>
                <w:sz w:val="21"/>
                <w:szCs w:val="21"/>
                <w:lang w:val="en-US" w:eastAsia="zh-CN"/>
              </w:rPr>
              <w:t>2019年受宏观经济环境影响，公司部分业务板块都承受了一定的压力。</w:t>
            </w:r>
          </w:p>
          <w:p>
            <w:pPr>
              <w:numPr>
                <w:ilvl w:val="-1"/>
                <w:numId w:val="0"/>
              </w:numPr>
              <w:ind w:leftChars="100" w:firstLine="420" w:firstLineChars="200"/>
              <w:rPr>
                <w:rFonts w:hint="default" w:ascii="Times New Roman" w:hAnsi="Times New Roman" w:eastAsia="宋体" w:cs="Times New Roman"/>
                <w:bCs/>
                <w:iCs/>
                <w:color w:val="000000"/>
                <w:sz w:val="21"/>
                <w:szCs w:val="21"/>
                <w:lang w:val="en-US" w:eastAsia="zh-CN"/>
              </w:rPr>
            </w:pPr>
            <w:r>
              <w:rPr>
                <w:rFonts w:hint="default" w:ascii="Times New Roman" w:hAnsi="Times New Roman" w:eastAsia="宋体" w:cs="Times New Roman"/>
                <w:bCs/>
                <w:iCs/>
                <w:color w:val="000000"/>
                <w:sz w:val="21"/>
                <w:szCs w:val="21"/>
                <w:lang w:val="en-US" w:eastAsia="zh-CN"/>
              </w:rPr>
              <w:t>首先，软件系统及解决方案即集成业务结构正从PPP项目、BOT项目向BT项目切换，公司对平安城市等集成业务项目的挑选上选择更加优质的项目，更加看重回款、利润及项目标杆意义等指标，一定程度上影响集团整体营收情况。</w:t>
            </w:r>
          </w:p>
          <w:p>
            <w:pPr>
              <w:numPr>
                <w:ilvl w:val="-1"/>
                <w:numId w:val="0"/>
              </w:numPr>
              <w:ind w:leftChars="100" w:firstLine="420" w:firstLineChars="200"/>
              <w:rPr>
                <w:rFonts w:hint="default" w:ascii="Times New Roman" w:hAnsi="Times New Roman" w:eastAsia="宋体" w:cs="Times New Roman"/>
                <w:bCs/>
                <w:iCs/>
                <w:color w:val="000000"/>
                <w:sz w:val="21"/>
                <w:szCs w:val="21"/>
                <w:lang w:val="en-US" w:eastAsia="zh-CN"/>
              </w:rPr>
            </w:pPr>
            <w:r>
              <w:rPr>
                <w:rFonts w:hint="default" w:ascii="Times New Roman" w:hAnsi="Times New Roman" w:eastAsia="宋体" w:cs="Times New Roman"/>
                <w:bCs/>
                <w:iCs/>
                <w:color w:val="000000"/>
                <w:sz w:val="21"/>
                <w:szCs w:val="21"/>
                <w:lang w:val="en-US" w:eastAsia="zh-CN"/>
              </w:rPr>
              <w:t>公司坚持重点聚焦车联网和公安执法规范化两大业务主航道。公司车联网业务，在集团业务整体承压的情况下，收入规模较去年同期仍保持增长，车联网产品毛利率保持稳定。</w:t>
            </w:r>
          </w:p>
          <w:p>
            <w:pPr>
              <w:numPr>
                <w:ilvl w:val="-1"/>
                <w:numId w:val="0"/>
              </w:numPr>
              <w:ind w:leftChars="100" w:firstLine="420" w:firstLineChars="200"/>
              <w:rPr>
                <w:rFonts w:hint="default" w:ascii="Times New Roman" w:hAnsi="Times New Roman" w:eastAsia="宋体" w:cs="Times New Roman"/>
                <w:bCs/>
                <w:iCs/>
                <w:color w:val="000000"/>
                <w:sz w:val="21"/>
                <w:szCs w:val="21"/>
                <w:lang w:val="en-US" w:eastAsia="zh-CN"/>
              </w:rPr>
            </w:pPr>
            <w:r>
              <w:rPr>
                <w:rFonts w:hint="default" w:ascii="Times New Roman" w:hAnsi="Times New Roman" w:eastAsia="宋体" w:cs="Times New Roman"/>
                <w:bCs/>
                <w:iCs/>
                <w:color w:val="000000"/>
                <w:sz w:val="21"/>
                <w:szCs w:val="21"/>
                <w:lang w:val="en-US" w:eastAsia="zh-CN"/>
              </w:rPr>
              <w:t>国际业务及国内业务都保持着较好的发展态势，公司不断开拓国内与国外客户及销售市场，积极跟进国家车联网战略进行技术研发并参与推进相关行业标准的制订，大力投入研发，彰显公司在车联网领域发展的信心与决心。</w:t>
            </w:r>
          </w:p>
          <w:p>
            <w:pPr>
              <w:numPr>
                <w:ilvl w:val="-1"/>
                <w:numId w:val="0"/>
              </w:numPr>
              <w:ind w:leftChars="100" w:firstLine="420" w:firstLineChars="200"/>
              <w:rPr>
                <w:rFonts w:hint="default" w:ascii="Times New Roman" w:hAnsi="Times New Roman" w:eastAsia="宋体" w:cs="Times New Roman"/>
                <w:bCs/>
                <w:iCs/>
                <w:color w:val="000000"/>
                <w:sz w:val="21"/>
                <w:szCs w:val="21"/>
                <w:lang w:val="en-US" w:eastAsia="zh-CN"/>
              </w:rPr>
            </w:pPr>
            <w:r>
              <w:rPr>
                <w:rFonts w:hint="default" w:ascii="Times New Roman" w:hAnsi="Times New Roman" w:eastAsia="宋体" w:cs="Times New Roman"/>
                <w:bCs/>
                <w:iCs/>
                <w:color w:val="000000"/>
                <w:sz w:val="21"/>
                <w:szCs w:val="21"/>
                <w:lang w:val="en-US" w:eastAsia="zh-CN"/>
              </w:rPr>
              <w:t>对于公安业务，公司今年参与了70周年国庆阅兵期间各项安保工作，该类项目主要旨在打造公司优质的行业品牌形象，在公安客户体系内扩大影响力，直接产生业绩贡献有限，其他公安业务进度受此影响有部分延后。</w:t>
            </w:r>
          </w:p>
          <w:p>
            <w:pPr>
              <w:numPr>
                <w:ilvl w:val="-1"/>
                <w:numId w:val="0"/>
              </w:numPr>
              <w:ind w:leftChars="100" w:firstLine="420" w:firstLineChars="200"/>
              <w:rPr>
                <w:rFonts w:hint="default" w:ascii="Times New Roman" w:hAnsi="Times New Roman" w:eastAsia="宋体" w:cs="Times New Roman"/>
                <w:bCs/>
                <w:iCs/>
                <w:color w:val="000000"/>
                <w:sz w:val="21"/>
                <w:szCs w:val="21"/>
                <w:lang w:val="en-US" w:eastAsia="zh-CN"/>
              </w:rPr>
            </w:pPr>
            <w:r>
              <w:rPr>
                <w:rFonts w:hint="default" w:ascii="Times New Roman" w:hAnsi="Times New Roman" w:eastAsia="宋体" w:cs="Times New Roman"/>
                <w:bCs/>
                <w:iCs/>
                <w:color w:val="000000"/>
                <w:sz w:val="21"/>
                <w:szCs w:val="21"/>
                <w:lang w:val="en-US" w:eastAsia="zh-CN"/>
              </w:rPr>
              <w:t>其次，针对中美两国关系影响，公司在积极准备应对措施，寻求供应链切换方式，不断完善公司海外供应链布局，过程中会带来一部分费用增长，影响公司毛利率水平。</w:t>
            </w:r>
          </w:p>
          <w:p>
            <w:pPr>
              <w:numPr>
                <w:ilvl w:val="-1"/>
                <w:numId w:val="0"/>
              </w:numPr>
              <w:ind w:leftChars="100" w:firstLine="420" w:firstLineChars="200"/>
              <w:rPr>
                <w:rFonts w:hint="default" w:ascii="Times New Roman" w:hAnsi="Times New Roman" w:eastAsia="宋体" w:cs="Times New Roman"/>
                <w:bCs/>
                <w:iCs/>
                <w:color w:val="000000"/>
                <w:sz w:val="21"/>
                <w:szCs w:val="21"/>
                <w:lang w:val="en-US" w:eastAsia="zh-CN"/>
              </w:rPr>
            </w:pPr>
            <w:r>
              <w:rPr>
                <w:rFonts w:hint="default" w:ascii="Times New Roman" w:hAnsi="Times New Roman" w:eastAsia="宋体" w:cs="Times New Roman"/>
                <w:bCs/>
                <w:iCs/>
                <w:color w:val="000000"/>
                <w:sz w:val="21"/>
                <w:szCs w:val="21"/>
                <w:lang w:val="en-US" w:eastAsia="zh-CN"/>
              </w:rPr>
              <w:t>目前，印度工厂已完成商务谈判及合作协议签署，并完成生产测试系统及相关硬件设备搭建，即将正式投入批量生产；海外售后服务能力不断提升，在保持原有国际售后渠道紧密合作的同时，在北美地区开拓新的车联网市场售后合作渠道，确保对北美高端客户的快速响应与服务。</w:t>
            </w:r>
          </w:p>
          <w:p>
            <w:pPr>
              <w:numPr>
                <w:ilvl w:val="-1"/>
                <w:numId w:val="0"/>
              </w:numPr>
              <w:ind w:leftChars="100" w:firstLine="420" w:firstLineChars="200"/>
              <w:rPr>
                <w:rFonts w:hint="default" w:ascii="Times New Roman" w:hAnsi="Times New Roman" w:eastAsia="宋体" w:cs="Times New Roman"/>
                <w:bCs/>
                <w:iCs/>
                <w:color w:val="000000"/>
                <w:sz w:val="21"/>
                <w:szCs w:val="21"/>
                <w:lang w:val="en-US" w:eastAsia="zh-CN"/>
              </w:rPr>
            </w:pPr>
            <w:r>
              <w:rPr>
                <w:rFonts w:hint="default" w:ascii="Times New Roman" w:hAnsi="Times New Roman" w:eastAsia="宋体" w:cs="Times New Roman"/>
                <w:bCs/>
                <w:iCs/>
                <w:color w:val="000000"/>
                <w:sz w:val="21"/>
                <w:szCs w:val="21"/>
                <w:lang w:val="en-US" w:eastAsia="zh-CN"/>
              </w:rPr>
              <w:t>第三，由于铁路总公司组织结构变化导致很多招标项目延后，也对创联公司营收产生影响；随着铁总组织结构变动完成，相关情况将会得到改善，同时创联研发实力不断提升，部分产品已通过国际最高安全等级SIL4认证，未来会继续拓展客户，扩大销售市场。</w:t>
            </w:r>
          </w:p>
          <w:p>
            <w:pPr>
              <w:numPr>
                <w:ilvl w:val="-1"/>
                <w:numId w:val="0"/>
              </w:numPr>
              <w:ind w:leftChars="100" w:firstLine="420" w:firstLineChars="200"/>
              <w:rPr>
                <w:rFonts w:hint="default" w:ascii="Times New Roman" w:hAnsi="Times New Roman" w:eastAsia="宋体" w:cs="Times New Roman"/>
                <w:bCs/>
                <w:iCs/>
                <w:color w:val="000000"/>
                <w:sz w:val="21"/>
                <w:szCs w:val="21"/>
                <w:lang w:val="en-US" w:eastAsia="zh-CN"/>
              </w:rPr>
            </w:pPr>
            <w:r>
              <w:rPr>
                <w:rFonts w:hint="default" w:ascii="Times New Roman" w:hAnsi="Times New Roman" w:eastAsia="宋体" w:cs="Times New Roman"/>
                <w:bCs/>
                <w:iCs/>
                <w:color w:val="000000"/>
                <w:sz w:val="21"/>
                <w:szCs w:val="21"/>
                <w:lang w:val="en-US" w:eastAsia="zh-CN"/>
              </w:rPr>
              <w:t>今年前三季度研发、销售、管理、财务费用合计占营业收入比重达到27.52%，但费用的投入效果将在明年开始逐渐显现，我们将进一步聚焦资源到研发费用。</w:t>
            </w:r>
          </w:p>
          <w:p>
            <w:pPr>
              <w:numPr>
                <w:ilvl w:val="0"/>
                <w:numId w:val="2"/>
              </w:numPr>
              <w:spacing w:line="360" w:lineRule="auto"/>
              <w:ind w:left="845"/>
              <w:rPr>
                <w:rFonts w:hint="default" w:ascii="Times New Roman" w:hAnsi="Times New Roman" w:eastAsia="宋体" w:cs="Times New Roman"/>
                <w:b/>
                <w:iCs/>
                <w:color w:val="000000"/>
                <w:sz w:val="21"/>
                <w:szCs w:val="21"/>
                <w:lang w:val="en-US" w:eastAsia="zh-CN"/>
              </w:rPr>
            </w:pPr>
            <w:r>
              <w:rPr>
                <w:rFonts w:hint="default" w:ascii="Times New Roman" w:hAnsi="Times New Roman" w:eastAsia="宋体" w:cs="Times New Roman"/>
                <w:b/>
                <w:iCs/>
                <w:color w:val="000000"/>
                <w:sz w:val="21"/>
                <w:szCs w:val="21"/>
                <w:lang w:val="en-US" w:eastAsia="zh-CN"/>
              </w:rPr>
              <w:t>公司对于改善现金流有什么措施？</w:t>
            </w:r>
          </w:p>
          <w:p>
            <w:pPr>
              <w:numPr>
                <w:ilvl w:val="-1"/>
                <w:numId w:val="0"/>
              </w:numPr>
              <w:ind w:leftChars="100" w:firstLine="420" w:firstLineChars="200"/>
              <w:rPr>
                <w:rFonts w:hint="default" w:ascii="Times New Roman" w:hAnsi="Times New Roman" w:eastAsia="宋体" w:cs="Times New Roman"/>
                <w:bCs/>
                <w:iCs/>
                <w:color w:val="000000"/>
                <w:sz w:val="21"/>
                <w:szCs w:val="21"/>
                <w:lang w:val="en-US" w:eastAsia="zh-CN"/>
              </w:rPr>
            </w:pPr>
            <w:r>
              <w:rPr>
                <w:rFonts w:hint="default" w:ascii="Times New Roman" w:hAnsi="Times New Roman" w:eastAsia="宋体" w:cs="Times New Roman"/>
                <w:bCs/>
                <w:iCs/>
                <w:color w:val="000000"/>
                <w:sz w:val="21"/>
                <w:szCs w:val="21"/>
                <w:lang w:val="en-US" w:eastAsia="zh-CN"/>
              </w:rPr>
              <w:t>公司对于集团现金流状况的</w:t>
            </w:r>
            <w:r>
              <w:rPr>
                <w:rFonts w:hint="eastAsia" w:ascii="Times New Roman" w:hAnsi="Times New Roman" w:cs="Times New Roman"/>
                <w:bCs/>
                <w:iCs/>
                <w:color w:val="000000"/>
                <w:sz w:val="21"/>
                <w:szCs w:val="21"/>
                <w:lang w:val="en-US" w:eastAsia="zh-CN"/>
              </w:rPr>
              <w:t>管理</w:t>
            </w:r>
            <w:r>
              <w:rPr>
                <w:rFonts w:hint="default" w:ascii="Times New Roman" w:hAnsi="Times New Roman" w:eastAsia="宋体" w:cs="Times New Roman"/>
                <w:bCs/>
                <w:iCs/>
                <w:color w:val="000000"/>
                <w:sz w:val="21"/>
                <w:szCs w:val="21"/>
                <w:lang w:val="en-US" w:eastAsia="zh-CN"/>
              </w:rPr>
              <w:t>措施主要包括：</w:t>
            </w:r>
          </w:p>
          <w:p>
            <w:pPr>
              <w:numPr>
                <w:ilvl w:val="-1"/>
                <w:numId w:val="0"/>
              </w:numPr>
              <w:ind w:leftChars="100" w:firstLine="420" w:firstLineChars="200"/>
              <w:rPr>
                <w:rFonts w:hint="default" w:ascii="Times New Roman" w:hAnsi="Times New Roman" w:eastAsia="宋体" w:cs="Times New Roman"/>
                <w:bCs/>
                <w:iCs/>
                <w:color w:val="000000"/>
                <w:sz w:val="21"/>
                <w:szCs w:val="21"/>
                <w:lang w:val="en-US" w:eastAsia="zh-CN"/>
              </w:rPr>
            </w:pPr>
            <w:r>
              <w:rPr>
                <w:rFonts w:hint="default" w:ascii="Times New Roman" w:hAnsi="Times New Roman" w:eastAsia="宋体" w:cs="Times New Roman"/>
                <w:bCs/>
                <w:iCs/>
                <w:color w:val="000000"/>
                <w:sz w:val="21"/>
                <w:szCs w:val="21"/>
                <w:lang w:val="en-US" w:eastAsia="zh-CN"/>
              </w:rPr>
              <w:t>1）收紧PPP、BOT项目，主要做回款条件好的短期型项目，并进行项目管理优化；</w:t>
            </w:r>
          </w:p>
          <w:p>
            <w:pPr>
              <w:numPr>
                <w:ilvl w:val="-1"/>
                <w:numId w:val="0"/>
              </w:numPr>
              <w:ind w:leftChars="100" w:firstLine="420" w:firstLineChars="200"/>
              <w:rPr>
                <w:rFonts w:hint="default" w:ascii="Times New Roman" w:hAnsi="Times New Roman" w:eastAsia="宋体" w:cs="Times New Roman"/>
                <w:bCs/>
                <w:iCs/>
                <w:color w:val="000000"/>
                <w:sz w:val="21"/>
                <w:szCs w:val="21"/>
                <w:lang w:val="en-US" w:eastAsia="zh-CN"/>
              </w:rPr>
            </w:pPr>
            <w:r>
              <w:rPr>
                <w:rFonts w:hint="default" w:ascii="Times New Roman" w:hAnsi="Times New Roman" w:eastAsia="宋体" w:cs="Times New Roman"/>
                <w:bCs/>
                <w:iCs/>
                <w:color w:val="000000"/>
                <w:sz w:val="21"/>
                <w:szCs w:val="21"/>
                <w:lang w:val="en-US" w:eastAsia="zh-CN"/>
              </w:rPr>
              <w:t>2）根据历史欠款，加强收款压力传递，将收款与经营单位及个人的绩效挂钩，促进回款；</w:t>
            </w:r>
          </w:p>
          <w:p>
            <w:pPr>
              <w:numPr>
                <w:ilvl w:val="-1"/>
                <w:numId w:val="0"/>
              </w:numPr>
              <w:ind w:leftChars="100" w:firstLine="420" w:firstLineChars="200"/>
              <w:rPr>
                <w:rFonts w:hint="default" w:ascii="Times New Roman" w:hAnsi="Times New Roman" w:eastAsia="宋体" w:cs="Times New Roman"/>
                <w:bCs/>
                <w:iCs/>
                <w:color w:val="000000"/>
                <w:sz w:val="21"/>
                <w:szCs w:val="21"/>
                <w:lang w:val="en-US" w:eastAsia="zh-CN"/>
              </w:rPr>
            </w:pPr>
            <w:r>
              <w:rPr>
                <w:rFonts w:hint="default" w:ascii="Times New Roman" w:hAnsi="Times New Roman" w:eastAsia="宋体" w:cs="Times New Roman"/>
                <w:bCs/>
                <w:iCs/>
                <w:color w:val="000000"/>
                <w:sz w:val="21"/>
                <w:szCs w:val="21"/>
                <w:lang w:val="en-US" w:eastAsia="zh-CN"/>
              </w:rPr>
              <w:t>3）组建供应链和子公司加大采购规模优势，获取采购付款商务谈判优势；</w:t>
            </w:r>
          </w:p>
          <w:p>
            <w:pPr>
              <w:numPr>
                <w:ilvl w:val="-1"/>
                <w:numId w:val="0"/>
              </w:numPr>
              <w:ind w:leftChars="100" w:firstLine="420" w:firstLineChars="200"/>
              <w:rPr>
                <w:rFonts w:hint="default" w:ascii="Times New Roman" w:hAnsi="Times New Roman" w:eastAsia="宋体" w:cs="Times New Roman"/>
                <w:bCs/>
                <w:iCs/>
                <w:color w:val="000000"/>
                <w:sz w:val="21"/>
                <w:szCs w:val="21"/>
                <w:lang w:val="en-US" w:eastAsia="zh-CN"/>
              </w:rPr>
            </w:pPr>
            <w:r>
              <w:rPr>
                <w:rFonts w:hint="default" w:ascii="Times New Roman" w:hAnsi="Times New Roman" w:eastAsia="宋体" w:cs="Times New Roman"/>
                <w:bCs/>
                <w:iCs/>
                <w:color w:val="000000"/>
                <w:sz w:val="21"/>
                <w:szCs w:val="21"/>
                <w:lang w:val="en-US" w:eastAsia="zh-CN"/>
              </w:rPr>
              <w:t>4）严格控制期间费用，提高费用效能。</w:t>
            </w:r>
          </w:p>
          <w:p>
            <w:pPr>
              <w:numPr>
                <w:ilvl w:val="0"/>
                <w:numId w:val="2"/>
              </w:numPr>
              <w:spacing w:line="360" w:lineRule="auto"/>
              <w:ind w:left="845"/>
              <w:rPr>
                <w:rFonts w:hint="default" w:ascii="Times New Roman" w:hAnsi="Times New Roman" w:eastAsia="宋体" w:cs="Times New Roman"/>
                <w:b/>
                <w:iCs/>
                <w:color w:val="000000"/>
                <w:sz w:val="21"/>
                <w:szCs w:val="21"/>
                <w:lang w:val="en-US" w:eastAsia="zh-CN"/>
              </w:rPr>
            </w:pPr>
            <w:r>
              <w:rPr>
                <w:rFonts w:hint="default" w:ascii="Times New Roman" w:hAnsi="Times New Roman" w:eastAsia="宋体" w:cs="Times New Roman"/>
                <w:b/>
                <w:iCs/>
                <w:color w:val="000000"/>
                <w:sz w:val="21"/>
                <w:szCs w:val="21"/>
                <w:lang w:val="en-US" w:eastAsia="zh-CN"/>
              </w:rPr>
              <w:t>车联网的行业进展和发展前景</w:t>
            </w:r>
          </w:p>
          <w:p>
            <w:pPr>
              <w:numPr>
                <w:ilvl w:val="0"/>
                <w:numId w:val="0"/>
              </w:numPr>
              <w:spacing w:line="360" w:lineRule="auto"/>
              <w:ind w:left="420" w:leftChars="0" w:firstLine="420" w:firstLineChars="200"/>
              <w:rPr>
                <w:rFonts w:hint="default" w:ascii="Times New Roman" w:hAnsi="Times New Roman" w:eastAsia="宋体" w:cs="Times New Roman"/>
                <w:bCs/>
                <w:iCs/>
                <w:color w:val="000000"/>
                <w:sz w:val="21"/>
                <w:szCs w:val="21"/>
                <w:lang w:val="en-US" w:eastAsia="zh-CN"/>
              </w:rPr>
            </w:pPr>
            <w:r>
              <w:rPr>
                <w:rFonts w:hint="default" w:ascii="Times New Roman" w:hAnsi="Times New Roman" w:eastAsia="宋体" w:cs="Times New Roman"/>
                <w:bCs/>
                <w:iCs/>
                <w:color w:val="000000"/>
                <w:sz w:val="21"/>
                <w:szCs w:val="21"/>
                <w:lang w:val="en-US" w:eastAsia="zh-CN"/>
              </w:rPr>
              <w:t>根据目前行业发展情况，预测基于LTE-V2X的车联网商用进程为2019年进行预商用测试，2020年正式迈入车联网（LTE-V2X）商用元年。高新兴车联网业务的核心定位是5G车联网解决方案和产品技术的提供商，希望帮助未来的车联网运营方构建人、车、路、网、云等多维协同的5G车联网。车联网商用进程目前属于蓄势待发的阶段，随着车联网相关标准的有序推进，未来</w:t>
            </w:r>
            <w:r>
              <w:rPr>
                <w:rFonts w:hint="eastAsia" w:ascii="Times New Roman" w:hAnsi="Times New Roman" w:cs="Times New Roman"/>
                <w:bCs/>
                <w:iCs/>
                <w:color w:val="000000"/>
                <w:sz w:val="21"/>
                <w:szCs w:val="21"/>
                <w:lang w:val="en-US" w:eastAsia="zh-CN"/>
              </w:rPr>
              <w:t>有</w:t>
            </w:r>
            <w:r>
              <w:rPr>
                <w:rFonts w:hint="default" w:ascii="Times New Roman" w:hAnsi="Times New Roman" w:eastAsia="宋体" w:cs="Times New Roman"/>
                <w:bCs/>
                <w:iCs/>
                <w:color w:val="000000"/>
                <w:sz w:val="21"/>
                <w:szCs w:val="21"/>
                <w:lang w:val="en-US" w:eastAsia="zh-CN"/>
              </w:rPr>
              <w:t>巨大的市场空间。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iCs/>
                <w:color w:val="000000"/>
                <w:szCs w:val="21"/>
              </w:rPr>
            </w:pPr>
            <w:r>
              <w:rPr>
                <w:rFonts w:ascii="Times New Roman" w:hAnsi="Times New Roman"/>
                <w:bCs/>
                <w:iCs/>
                <w:color w:val="000000"/>
                <w:szCs w:val="21"/>
              </w:rPr>
              <w:t>附件清单（如有）</w:t>
            </w:r>
          </w:p>
        </w:tc>
        <w:tc>
          <w:tcPr>
            <w:tcW w:w="631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iCs/>
                <w:color w:val="000000"/>
                <w:szCs w:val="21"/>
              </w:rPr>
            </w:pPr>
            <w:r>
              <w:rPr>
                <w:rFonts w:ascii="Times New Roman" w:hAnsi="Times New Roman"/>
                <w:bCs/>
                <w:iCs/>
                <w:color w:val="000000"/>
                <w:szCs w:val="21"/>
              </w:rPr>
              <w:t>无</w:t>
            </w:r>
          </w:p>
        </w:tc>
      </w:tr>
    </w:tbl>
    <w:p>
      <w:pPr>
        <w:spacing w:line="400" w:lineRule="exact"/>
        <w:rPr>
          <w:rFonts w:ascii="Times New Roman" w:hAnsi="Times New Roman"/>
        </w:rPr>
      </w:pPr>
    </w:p>
    <w:p>
      <w:pPr>
        <w:rPr>
          <w:rFonts w:ascii="Times New Roman" w:hAnsi="Times New Roman"/>
        </w:rPr>
      </w:pPr>
    </w:p>
    <w:p>
      <w:pPr>
        <w:rPr>
          <w:rFonts w:ascii="Times New Roman" w:hAnsi="Times New Roma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NewRomanPSMT">
    <w:altName w:val="Times New Roman"/>
    <w:panose1 w:val="00000000000000000000"/>
    <w:charset w:val="00"/>
    <w:family w:val="roman"/>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DEE2A0"/>
    <w:multiLevelType w:val="singleLevel"/>
    <w:tmpl w:val="ACDEE2A0"/>
    <w:lvl w:ilvl="0" w:tentative="0">
      <w:start w:val="1"/>
      <w:numFmt w:val="decimal"/>
      <w:lvlText w:val="%1."/>
      <w:lvlJc w:val="left"/>
      <w:pPr>
        <w:ind w:left="425" w:hanging="425"/>
      </w:pPr>
      <w:rPr>
        <w:rFonts w:hint="default"/>
      </w:rPr>
    </w:lvl>
  </w:abstractNum>
  <w:abstractNum w:abstractNumId="1">
    <w:nsid w:val="7236E481"/>
    <w:multiLevelType w:val="singleLevel"/>
    <w:tmpl w:val="7236E481"/>
    <w:lvl w:ilvl="0" w:tentative="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2AF7"/>
    <w:rsid w:val="000309DD"/>
    <w:rsid w:val="00037162"/>
    <w:rsid w:val="00052D71"/>
    <w:rsid w:val="0006544D"/>
    <w:rsid w:val="000740B9"/>
    <w:rsid w:val="0009694D"/>
    <w:rsid w:val="000A6E2E"/>
    <w:rsid w:val="000E2EDB"/>
    <w:rsid w:val="000F141A"/>
    <w:rsid w:val="000F5440"/>
    <w:rsid w:val="000F7885"/>
    <w:rsid w:val="0012327A"/>
    <w:rsid w:val="00125C4F"/>
    <w:rsid w:val="0013246B"/>
    <w:rsid w:val="00137334"/>
    <w:rsid w:val="00140058"/>
    <w:rsid w:val="00144C7C"/>
    <w:rsid w:val="00150E47"/>
    <w:rsid w:val="001564B1"/>
    <w:rsid w:val="0016100C"/>
    <w:rsid w:val="00161D1E"/>
    <w:rsid w:val="001632E2"/>
    <w:rsid w:val="00172A27"/>
    <w:rsid w:val="00175DCC"/>
    <w:rsid w:val="001A39F6"/>
    <w:rsid w:val="001B614D"/>
    <w:rsid w:val="001C28F2"/>
    <w:rsid w:val="001D248F"/>
    <w:rsid w:val="001E43FC"/>
    <w:rsid w:val="00200333"/>
    <w:rsid w:val="00203D24"/>
    <w:rsid w:val="00206091"/>
    <w:rsid w:val="0021154D"/>
    <w:rsid w:val="002147F8"/>
    <w:rsid w:val="002223A1"/>
    <w:rsid w:val="002477CF"/>
    <w:rsid w:val="002526C2"/>
    <w:rsid w:val="00273F90"/>
    <w:rsid w:val="00287F1F"/>
    <w:rsid w:val="0029136D"/>
    <w:rsid w:val="002950C3"/>
    <w:rsid w:val="002B3409"/>
    <w:rsid w:val="002D001A"/>
    <w:rsid w:val="003011AB"/>
    <w:rsid w:val="0033260C"/>
    <w:rsid w:val="00335B8D"/>
    <w:rsid w:val="003478FD"/>
    <w:rsid w:val="0035542B"/>
    <w:rsid w:val="00355E8A"/>
    <w:rsid w:val="00373FA7"/>
    <w:rsid w:val="0038184A"/>
    <w:rsid w:val="00383326"/>
    <w:rsid w:val="00393126"/>
    <w:rsid w:val="003A2DCA"/>
    <w:rsid w:val="003A5E37"/>
    <w:rsid w:val="003A7A09"/>
    <w:rsid w:val="003B1CF1"/>
    <w:rsid w:val="003B34D5"/>
    <w:rsid w:val="003B5E0B"/>
    <w:rsid w:val="003C18FD"/>
    <w:rsid w:val="003D1C50"/>
    <w:rsid w:val="003D5D01"/>
    <w:rsid w:val="003F0277"/>
    <w:rsid w:val="00416690"/>
    <w:rsid w:val="00425851"/>
    <w:rsid w:val="00431641"/>
    <w:rsid w:val="00431C01"/>
    <w:rsid w:val="004417DC"/>
    <w:rsid w:val="00470C93"/>
    <w:rsid w:val="00492F9A"/>
    <w:rsid w:val="0049342A"/>
    <w:rsid w:val="004941E4"/>
    <w:rsid w:val="004B08E0"/>
    <w:rsid w:val="004B6752"/>
    <w:rsid w:val="004C55EA"/>
    <w:rsid w:val="004D21AB"/>
    <w:rsid w:val="004D3410"/>
    <w:rsid w:val="004E2A18"/>
    <w:rsid w:val="004F3028"/>
    <w:rsid w:val="00522E66"/>
    <w:rsid w:val="00531273"/>
    <w:rsid w:val="005408C3"/>
    <w:rsid w:val="0054306E"/>
    <w:rsid w:val="00564E52"/>
    <w:rsid w:val="00592687"/>
    <w:rsid w:val="005B76A5"/>
    <w:rsid w:val="005C2E0C"/>
    <w:rsid w:val="005D2335"/>
    <w:rsid w:val="005D445A"/>
    <w:rsid w:val="005E2819"/>
    <w:rsid w:val="00601167"/>
    <w:rsid w:val="006133B9"/>
    <w:rsid w:val="00620525"/>
    <w:rsid w:val="006376E6"/>
    <w:rsid w:val="006429D2"/>
    <w:rsid w:val="0064763A"/>
    <w:rsid w:val="006633B5"/>
    <w:rsid w:val="00664427"/>
    <w:rsid w:val="0066721E"/>
    <w:rsid w:val="00672FD1"/>
    <w:rsid w:val="00676307"/>
    <w:rsid w:val="00691F80"/>
    <w:rsid w:val="00697BAA"/>
    <w:rsid w:val="006A5756"/>
    <w:rsid w:val="006B40C6"/>
    <w:rsid w:val="006E15F2"/>
    <w:rsid w:val="006E4082"/>
    <w:rsid w:val="00712941"/>
    <w:rsid w:val="00715140"/>
    <w:rsid w:val="00724C01"/>
    <w:rsid w:val="007353F8"/>
    <w:rsid w:val="0075232D"/>
    <w:rsid w:val="00754FA0"/>
    <w:rsid w:val="00757E60"/>
    <w:rsid w:val="00762475"/>
    <w:rsid w:val="00766411"/>
    <w:rsid w:val="00770DCD"/>
    <w:rsid w:val="0077140A"/>
    <w:rsid w:val="007A389C"/>
    <w:rsid w:val="007B3AF8"/>
    <w:rsid w:val="007C3881"/>
    <w:rsid w:val="007C6C1A"/>
    <w:rsid w:val="007D4468"/>
    <w:rsid w:val="007D4F50"/>
    <w:rsid w:val="007D7A6E"/>
    <w:rsid w:val="007D7CC9"/>
    <w:rsid w:val="007E2C99"/>
    <w:rsid w:val="007E61A5"/>
    <w:rsid w:val="007F1227"/>
    <w:rsid w:val="007F222C"/>
    <w:rsid w:val="00823FE2"/>
    <w:rsid w:val="00834423"/>
    <w:rsid w:val="00836716"/>
    <w:rsid w:val="00851610"/>
    <w:rsid w:val="00863A76"/>
    <w:rsid w:val="008951BD"/>
    <w:rsid w:val="008A62A0"/>
    <w:rsid w:val="008B24D4"/>
    <w:rsid w:val="008B63AC"/>
    <w:rsid w:val="008B79AE"/>
    <w:rsid w:val="008C339B"/>
    <w:rsid w:val="008C3D30"/>
    <w:rsid w:val="008D00C4"/>
    <w:rsid w:val="008D1665"/>
    <w:rsid w:val="008D66E7"/>
    <w:rsid w:val="008E728A"/>
    <w:rsid w:val="00902B23"/>
    <w:rsid w:val="00905647"/>
    <w:rsid w:val="00914B49"/>
    <w:rsid w:val="0091663C"/>
    <w:rsid w:val="0092684B"/>
    <w:rsid w:val="00940F6E"/>
    <w:rsid w:val="00942D37"/>
    <w:rsid w:val="00943077"/>
    <w:rsid w:val="00946440"/>
    <w:rsid w:val="00951EB9"/>
    <w:rsid w:val="00956A3C"/>
    <w:rsid w:val="0099190C"/>
    <w:rsid w:val="009A4432"/>
    <w:rsid w:val="009B15AA"/>
    <w:rsid w:val="009B7732"/>
    <w:rsid w:val="009D1819"/>
    <w:rsid w:val="009F2899"/>
    <w:rsid w:val="009F4AF7"/>
    <w:rsid w:val="009F7E5A"/>
    <w:rsid w:val="00A06B98"/>
    <w:rsid w:val="00A1524C"/>
    <w:rsid w:val="00A26B42"/>
    <w:rsid w:val="00A43F63"/>
    <w:rsid w:val="00A63447"/>
    <w:rsid w:val="00A736D4"/>
    <w:rsid w:val="00A74FBC"/>
    <w:rsid w:val="00A86318"/>
    <w:rsid w:val="00A93916"/>
    <w:rsid w:val="00AA7A39"/>
    <w:rsid w:val="00AB69A3"/>
    <w:rsid w:val="00AE12EE"/>
    <w:rsid w:val="00AE6A56"/>
    <w:rsid w:val="00AF1308"/>
    <w:rsid w:val="00AF58DD"/>
    <w:rsid w:val="00B02061"/>
    <w:rsid w:val="00B22A81"/>
    <w:rsid w:val="00B33A3D"/>
    <w:rsid w:val="00B37341"/>
    <w:rsid w:val="00B402C2"/>
    <w:rsid w:val="00B606AA"/>
    <w:rsid w:val="00B6688F"/>
    <w:rsid w:val="00B762E2"/>
    <w:rsid w:val="00B7782A"/>
    <w:rsid w:val="00B81F92"/>
    <w:rsid w:val="00B91A17"/>
    <w:rsid w:val="00B93801"/>
    <w:rsid w:val="00B93EC7"/>
    <w:rsid w:val="00BA433C"/>
    <w:rsid w:val="00BD2D86"/>
    <w:rsid w:val="00BD722E"/>
    <w:rsid w:val="00BD78DE"/>
    <w:rsid w:val="00BE0007"/>
    <w:rsid w:val="00BE4AAE"/>
    <w:rsid w:val="00BF10C0"/>
    <w:rsid w:val="00C22E3D"/>
    <w:rsid w:val="00C33CDB"/>
    <w:rsid w:val="00C47F64"/>
    <w:rsid w:val="00C5660E"/>
    <w:rsid w:val="00C66AE3"/>
    <w:rsid w:val="00C744C2"/>
    <w:rsid w:val="00C80873"/>
    <w:rsid w:val="00C840F0"/>
    <w:rsid w:val="00CB16AC"/>
    <w:rsid w:val="00CB3245"/>
    <w:rsid w:val="00CB6561"/>
    <w:rsid w:val="00CD1309"/>
    <w:rsid w:val="00CD7591"/>
    <w:rsid w:val="00CE4802"/>
    <w:rsid w:val="00D053C0"/>
    <w:rsid w:val="00D26FB6"/>
    <w:rsid w:val="00D5234F"/>
    <w:rsid w:val="00D7053C"/>
    <w:rsid w:val="00D70545"/>
    <w:rsid w:val="00D81BC9"/>
    <w:rsid w:val="00D838F3"/>
    <w:rsid w:val="00D855CF"/>
    <w:rsid w:val="00D94A9E"/>
    <w:rsid w:val="00DA7D44"/>
    <w:rsid w:val="00DB1251"/>
    <w:rsid w:val="00DB1549"/>
    <w:rsid w:val="00DB1D4F"/>
    <w:rsid w:val="00DD1B16"/>
    <w:rsid w:val="00DD3439"/>
    <w:rsid w:val="00DE5F46"/>
    <w:rsid w:val="00E26A56"/>
    <w:rsid w:val="00E35D8D"/>
    <w:rsid w:val="00E43F00"/>
    <w:rsid w:val="00E45F51"/>
    <w:rsid w:val="00E46532"/>
    <w:rsid w:val="00E50359"/>
    <w:rsid w:val="00E64773"/>
    <w:rsid w:val="00E83C6C"/>
    <w:rsid w:val="00EB669B"/>
    <w:rsid w:val="00EB6D5C"/>
    <w:rsid w:val="00EC2172"/>
    <w:rsid w:val="00EC78DC"/>
    <w:rsid w:val="00EE4EFA"/>
    <w:rsid w:val="00F03150"/>
    <w:rsid w:val="00F258D9"/>
    <w:rsid w:val="00F350B6"/>
    <w:rsid w:val="00F6080C"/>
    <w:rsid w:val="00F70A19"/>
    <w:rsid w:val="00F82854"/>
    <w:rsid w:val="00F83FD0"/>
    <w:rsid w:val="00F868DD"/>
    <w:rsid w:val="00F902A7"/>
    <w:rsid w:val="00F9455B"/>
    <w:rsid w:val="00F94C1D"/>
    <w:rsid w:val="00FA3584"/>
    <w:rsid w:val="00FA4EAF"/>
    <w:rsid w:val="00FB233F"/>
    <w:rsid w:val="00FC58AE"/>
    <w:rsid w:val="00FF379B"/>
    <w:rsid w:val="0177116A"/>
    <w:rsid w:val="02020072"/>
    <w:rsid w:val="022645EA"/>
    <w:rsid w:val="02460EAA"/>
    <w:rsid w:val="02BD4372"/>
    <w:rsid w:val="02DE679C"/>
    <w:rsid w:val="030F6F77"/>
    <w:rsid w:val="035E2699"/>
    <w:rsid w:val="03627609"/>
    <w:rsid w:val="03D73223"/>
    <w:rsid w:val="04433E88"/>
    <w:rsid w:val="04CE4671"/>
    <w:rsid w:val="053058C0"/>
    <w:rsid w:val="05CD294D"/>
    <w:rsid w:val="061A135F"/>
    <w:rsid w:val="063F4B18"/>
    <w:rsid w:val="06554661"/>
    <w:rsid w:val="06645B08"/>
    <w:rsid w:val="067A25B2"/>
    <w:rsid w:val="067C2A6B"/>
    <w:rsid w:val="07076DFF"/>
    <w:rsid w:val="07B01A85"/>
    <w:rsid w:val="07CE4416"/>
    <w:rsid w:val="0866522A"/>
    <w:rsid w:val="0867184C"/>
    <w:rsid w:val="086740D4"/>
    <w:rsid w:val="08A76578"/>
    <w:rsid w:val="08E21D85"/>
    <w:rsid w:val="090A738B"/>
    <w:rsid w:val="09380BE1"/>
    <w:rsid w:val="096C38B7"/>
    <w:rsid w:val="09A8777C"/>
    <w:rsid w:val="09B36B31"/>
    <w:rsid w:val="09D7104D"/>
    <w:rsid w:val="0A3D5385"/>
    <w:rsid w:val="0A9B5B54"/>
    <w:rsid w:val="0AF414C2"/>
    <w:rsid w:val="0B5C0E15"/>
    <w:rsid w:val="0BB32E44"/>
    <w:rsid w:val="0C8D24F2"/>
    <w:rsid w:val="0DA25A50"/>
    <w:rsid w:val="0DB83143"/>
    <w:rsid w:val="0DBA2D0F"/>
    <w:rsid w:val="0DC1432D"/>
    <w:rsid w:val="0DE3239A"/>
    <w:rsid w:val="0E13091C"/>
    <w:rsid w:val="0FCD7E8D"/>
    <w:rsid w:val="10382F11"/>
    <w:rsid w:val="115172A9"/>
    <w:rsid w:val="11AF31C6"/>
    <w:rsid w:val="11D93754"/>
    <w:rsid w:val="12533A46"/>
    <w:rsid w:val="12554EFB"/>
    <w:rsid w:val="126C48E2"/>
    <w:rsid w:val="12731335"/>
    <w:rsid w:val="12896B3E"/>
    <w:rsid w:val="13551B27"/>
    <w:rsid w:val="137B7870"/>
    <w:rsid w:val="13DB0F4E"/>
    <w:rsid w:val="142C319B"/>
    <w:rsid w:val="14330E77"/>
    <w:rsid w:val="144E03CF"/>
    <w:rsid w:val="14672DA5"/>
    <w:rsid w:val="14817E39"/>
    <w:rsid w:val="14B50D3F"/>
    <w:rsid w:val="153A0651"/>
    <w:rsid w:val="155B4AE2"/>
    <w:rsid w:val="15913322"/>
    <w:rsid w:val="15CC2118"/>
    <w:rsid w:val="15E7238B"/>
    <w:rsid w:val="161E3919"/>
    <w:rsid w:val="162D6186"/>
    <w:rsid w:val="16442A37"/>
    <w:rsid w:val="164C3629"/>
    <w:rsid w:val="1699677E"/>
    <w:rsid w:val="16F6459E"/>
    <w:rsid w:val="177744EB"/>
    <w:rsid w:val="17A31DBB"/>
    <w:rsid w:val="17FE779D"/>
    <w:rsid w:val="18CA7CCD"/>
    <w:rsid w:val="18D05710"/>
    <w:rsid w:val="191C797D"/>
    <w:rsid w:val="192F075B"/>
    <w:rsid w:val="1965684C"/>
    <w:rsid w:val="19D41070"/>
    <w:rsid w:val="19F43EA9"/>
    <w:rsid w:val="1A373E27"/>
    <w:rsid w:val="1B612FD5"/>
    <w:rsid w:val="1B7577B7"/>
    <w:rsid w:val="1B793CFC"/>
    <w:rsid w:val="1B8D53F5"/>
    <w:rsid w:val="1BBE0E86"/>
    <w:rsid w:val="1BF87FB1"/>
    <w:rsid w:val="1C372BD8"/>
    <w:rsid w:val="1C6E70D7"/>
    <w:rsid w:val="1C79530D"/>
    <w:rsid w:val="1CDB2011"/>
    <w:rsid w:val="1CF1570E"/>
    <w:rsid w:val="1D153B53"/>
    <w:rsid w:val="1D4938D3"/>
    <w:rsid w:val="1D973CA1"/>
    <w:rsid w:val="1DAB321C"/>
    <w:rsid w:val="1DB36B9B"/>
    <w:rsid w:val="1DE64D3B"/>
    <w:rsid w:val="1DE80787"/>
    <w:rsid w:val="1E0239B1"/>
    <w:rsid w:val="1FE707D8"/>
    <w:rsid w:val="2012793A"/>
    <w:rsid w:val="203F2571"/>
    <w:rsid w:val="204F5563"/>
    <w:rsid w:val="207D6093"/>
    <w:rsid w:val="21092635"/>
    <w:rsid w:val="211A1EB8"/>
    <w:rsid w:val="21A53A2A"/>
    <w:rsid w:val="22727A0B"/>
    <w:rsid w:val="227A6273"/>
    <w:rsid w:val="22DC6DEF"/>
    <w:rsid w:val="231B1879"/>
    <w:rsid w:val="23313355"/>
    <w:rsid w:val="23532B2F"/>
    <w:rsid w:val="23710F43"/>
    <w:rsid w:val="240A50E5"/>
    <w:rsid w:val="2496713E"/>
    <w:rsid w:val="24BE0EC8"/>
    <w:rsid w:val="256A5B6C"/>
    <w:rsid w:val="258A2F94"/>
    <w:rsid w:val="25A10939"/>
    <w:rsid w:val="25DC5E37"/>
    <w:rsid w:val="25F4775F"/>
    <w:rsid w:val="26077BA8"/>
    <w:rsid w:val="262A2D91"/>
    <w:rsid w:val="26466A36"/>
    <w:rsid w:val="266E6EC0"/>
    <w:rsid w:val="2690122B"/>
    <w:rsid w:val="269E16BD"/>
    <w:rsid w:val="26EE4488"/>
    <w:rsid w:val="27104822"/>
    <w:rsid w:val="27900456"/>
    <w:rsid w:val="27B63572"/>
    <w:rsid w:val="27BC6E9B"/>
    <w:rsid w:val="27CC2FFC"/>
    <w:rsid w:val="289F6213"/>
    <w:rsid w:val="28D82D64"/>
    <w:rsid w:val="28FE79F5"/>
    <w:rsid w:val="29100149"/>
    <w:rsid w:val="2922555B"/>
    <w:rsid w:val="29232AE2"/>
    <w:rsid w:val="29D85C4B"/>
    <w:rsid w:val="2A2D1FFC"/>
    <w:rsid w:val="2A30081D"/>
    <w:rsid w:val="2A3C4A25"/>
    <w:rsid w:val="2A3E06A2"/>
    <w:rsid w:val="2AD6609D"/>
    <w:rsid w:val="2AE4385D"/>
    <w:rsid w:val="2AEF1A2A"/>
    <w:rsid w:val="2B0928DA"/>
    <w:rsid w:val="2B4F01BD"/>
    <w:rsid w:val="2B6A3A3B"/>
    <w:rsid w:val="2BC14E00"/>
    <w:rsid w:val="2C1D303F"/>
    <w:rsid w:val="2C7C7536"/>
    <w:rsid w:val="2CBD20FC"/>
    <w:rsid w:val="2D031D8C"/>
    <w:rsid w:val="2D04268A"/>
    <w:rsid w:val="2D7149BB"/>
    <w:rsid w:val="2D9062E6"/>
    <w:rsid w:val="2DAC2042"/>
    <w:rsid w:val="2DC76723"/>
    <w:rsid w:val="2DCC79A8"/>
    <w:rsid w:val="2E110C0F"/>
    <w:rsid w:val="2E2D59E4"/>
    <w:rsid w:val="2E306053"/>
    <w:rsid w:val="2E735844"/>
    <w:rsid w:val="2E7F585E"/>
    <w:rsid w:val="2EFA3A1E"/>
    <w:rsid w:val="2F9D5F3A"/>
    <w:rsid w:val="2FCB16B2"/>
    <w:rsid w:val="2FDF1F05"/>
    <w:rsid w:val="2FE6092B"/>
    <w:rsid w:val="308A2FC6"/>
    <w:rsid w:val="30AD398C"/>
    <w:rsid w:val="310D0B08"/>
    <w:rsid w:val="31A50B61"/>
    <w:rsid w:val="31B342E9"/>
    <w:rsid w:val="31C61E33"/>
    <w:rsid w:val="31CB2FF8"/>
    <w:rsid w:val="31EC3FF8"/>
    <w:rsid w:val="32A35ADA"/>
    <w:rsid w:val="32BA3DD6"/>
    <w:rsid w:val="32BE05E9"/>
    <w:rsid w:val="32FC1CEF"/>
    <w:rsid w:val="33220658"/>
    <w:rsid w:val="337C4CFE"/>
    <w:rsid w:val="338E56FF"/>
    <w:rsid w:val="33EA0AF5"/>
    <w:rsid w:val="33ED213B"/>
    <w:rsid w:val="341C18F3"/>
    <w:rsid w:val="34506B7F"/>
    <w:rsid w:val="35185E2B"/>
    <w:rsid w:val="352C6D80"/>
    <w:rsid w:val="354E0C51"/>
    <w:rsid w:val="35D26FB2"/>
    <w:rsid w:val="3626011B"/>
    <w:rsid w:val="363825F5"/>
    <w:rsid w:val="36621C84"/>
    <w:rsid w:val="36B20502"/>
    <w:rsid w:val="36EE6DEC"/>
    <w:rsid w:val="36F92C86"/>
    <w:rsid w:val="370D7F2B"/>
    <w:rsid w:val="37751B7C"/>
    <w:rsid w:val="37AA683A"/>
    <w:rsid w:val="38796140"/>
    <w:rsid w:val="38B669E3"/>
    <w:rsid w:val="38F972B1"/>
    <w:rsid w:val="393038E9"/>
    <w:rsid w:val="39632569"/>
    <w:rsid w:val="3A2D2BD5"/>
    <w:rsid w:val="3A981A22"/>
    <w:rsid w:val="3AC139A3"/>
    <w:rsid w:val="3B720785"/>
    <w:rsid w:val="3B79257F"/>
    <w:rsid w:val="3BB85989"/>
    <w:rsid w:val="3CBD1D91"/>
    <w:rsid w:val="3CFD7D8B"/>
    <w:rsid w:val="3D4456E2"/>
    <w:rsid w:val="3D720050"/>
    <w:rsid w:val="3D84706A"/>
    <w:rsid w:val="3DEE57BF"/>
    <w:rsid w:val="3E7A6736"/>
    <w:rsid w:val="3E7B5C14"/>
    <w:rsid w:val="3EB764EC"/>
    <w:rsid w:val="3EF53FFA"/>
    <w:rsid w:val="3F08328F"/>
    <w:rsid w:val="3F4C2FA0"/>
    <w:rsid w:val="3F645FC4"/>
    <w:rsid w:val="3F91497E"/>
    <w:rsid w:val="3F9310F8"/>
    <w:rsid w:val="3FC127D3"/>
    <w:rsid w:val="3FD5595A"/>
    <w:rsid w:val="3FFF0FB8"/>
    <w:rsid w:val="402F65CE"/>
    <w:rsid w:val="40E50366"/>
    <w:rsid w:val="41677507"/>
    <w:rsid w:val="41AD59A4"/>
    <w:rsid w:val="41BE3F5E"/>
    <w:rsid w:val="41D836BB"/>
    <w:rsid w:val="4291510D"/>
    <w:rsid w:val="43B10BFB"/>
    <w:rsid w:val="43DD18D6"/>
    <w:rsid w:val="44000925"/>
    <w:rsid w:val="443B34FC"/>
    <w:rsid w:val="443C4B54"/>
    <w:rsid w:val="444410AF"/>
    <w:rsid w:val="44BE35AC"/>
    <w:rsid w:val="45BC7566"/>
    <w:rsid w:val="45C96118"/>
    <w:rsid w:val="46043BB5"/>
    <w:rsid w:val="469511DE"/>
    <w:rsid w:val="46B513FB"/>
    <w:rsid w:val="46BC5812"/>
    <w:rsid w:val="46D35917"/>
    <w:rsid w:val="47016A84"/>
    <w:rsid w:val="47052100"/>
    <w:rsid w:val="475B0355"/>
    <w:rsid w:val="47787013"/>
    <w:rsid w:val="47AB6411"/>
    <w:rsid w:val="47C9204B"/>
    <w:rsid w:val="483D6EF9"/>
    <w:rsid w:val="48A946FE"/>
    <w:rsid w:val="496A77EF"/>
    <w:rsid w:val="497546DE"/>
    <w:rsid w:val="49A465B9"/>
    <w:rsid w:val="49E929CA"/>
    <w:rsid w:val="4A0E6E1E"/>
    <w:rsid w:val="4A3B7194"/>
    <w:rsid w:val="4A715053"/>
    <w:rsid w:val="4B000BF6"/>
    <w:rsid w:val="4B226778"/>
    <w:rsid w:val="4B941B11"/>
    <w:rsid w:val="4B9E29A4"/>
    <w:rsid w:val="4BCA7E83"/>
    <w:rsid w:val="4C3D0A97"/>
    <w:rsid w:val="4C72592F"/>
    <w:rsid w:val="4CAD124F"/>
    <w:rsid w:val="4D143D05"/>
    <w:rsid w:val="4D725800"/>
    <w:rsid w:val="4DAA7DB4"/>
    <w:rsid w:val="4DD52E24"/>
    <w:rsid w:val="4E184F7F"/>
    <w:rsid w:val="4E2E32C5"/>
    <w:rsid w:val="4E69113E"/>
    <w:rsid w:val="4E987430"/>
    <w:rsid w:val="4EE85A48"/>
    <w:rsid w:val="4EFF0DA5"/>
    <w:rsid w:val="4F4A44CB"/>
    <w:rsid w:val="4F514EC3"/>
    <w:rsid w:val="4F8A3F75"/>
    <w:rsid w:val="4FB231B0"/>
    <w:rsid w:val="4FF0334A"/>
    <w:rsid w:val="502A20B8"/>
    <w:rsid w:val="5031572A"/>
    <w:rsid w:val="506D5550"/>
    <w:rsid w:val="50D80D16"/>
    <w:rsid w:val="50FF2A46"/>
    <w:rsid w:val="5113429C"/>
    <w:rsid w:val="514C48D6"/>
    <w:rsid w:val="518B635C"/>
    <w:rsid w:val="51B23B59"/>
    <w:rsid w:val="51C001A0"/>
    <w:rsid w:val="52115A40"/>
    <w:rsid w:val="522B0BBD"/>
    <w:rsid w:val="523A1744"/>
    <w:rsid w:val="527043DA"/>
    <w:rsid w:val="528100A1"/>
    <w:rsid w:val="5391694B"/>
    <w:rsid w:val="542A30D8"/>
    <w:rsid w:val="54BB7174"/>
    <w:rsid w:val="54D53DF4"/>
    <w:rsid w:val="54ED7CB3"/>
    <w:rsid w:val="55232E6B"/>
    <w:rsid w:val="55261887"/>
    <w:rsid w:val="55977BE1"/>
    <w:rsid w:val="55D40E91"/>
    <w:rsid w:val="56107841"/>
    <w:rsid w:val="56346DF1"/>
    <w:rsid w:val="5669286D"/>
    <w:rsid w:val="56BB0C0E"/>
    <w:rsid w:val="5711499D"/>
    <w:rsid w:val="575D415A"/>
    <w:rsid w:val="576F2D93"/>
    <w:rsid w:val="57742C7C"/>
    <w:rsid w:val="57822543"/>
    <w:rsid w:val="57E748D2"/>
    <w:rsid w:val="57EE4A58"/>
    <w:rsid w:val="57F05A58"/>
    <w:rsid w:val="57FC65FB"/>
    <w:rsid w:val="58172DC5"/>
    <w:rsid w:val="588033EC"/>
    <w:rsid w:val="590375A6"/>
    <w:rsid w:val="59BF3F9F"/>
    <w:rsid w:val="59FB6DB1"/>
    <w:rsid w:val="5A033011"/>
    <w:rsid w:val="5A373BA6"/>
    <w:rsid w:val="5AA76929"/>
    <w:rsid w:val="5AE93763"/>
    <w:rsid w:val="5B7C5113"/>
    <w:rsid w:val="5B9D2225"/>
    <w:rsid w:val="5BFF7929"/>
    <w:rsid w:val="5C435500"/>
    <w:rsid w:val="5C545C14"/>
    <w:rsid w:val="5C7913A4"/>
    <w:rsid w:val="5CBD3223"/>
    <w:rsid w:val="5CEB0490"/>
    <w:rsid w:val="5CF64A50"/>
    <w:rsid w:val="5D117C91"/>
    <w:rsid w:val="5DB66400"/>
    <w:rsid w:val="5DD904C4"/>
    <w:rsid w:val="5E3927AA"/>
    <w:rsid w:val="5F7C680D"/>
    <w:rsid w:val="5FAB2A7A"/>
    <w:rsid w:val="5FF67529"/>
    <w:rsid w:val="5FFB1252"/>
    <w:rsid w:val="6056164C"/>
    <w:rsid w:val="609903B3"/>
    <w:rsid w:val="6115717C"/>
    <w:rsid w:val="611F37C6"/>
    <w:rsid w:val="6168664B"/>
    <w:rsid w:val="61856D84"/>
    <w:rsid w:val="618723D9"/>
    <w:rsid w:val="61A9695E"/>
    <w:rsid w:val="61F93AE7"/>
    <w:rsid w:val="621C496A"/>
    <w:rsid w:val="627537F2"/>
    <w:rsid w:val="62B67235"/>
    <w:rsid w:val="630135EA"/>
    <w:rsid w:val="63294C70"/>
    <w:rsid w:val="634D58E7"/>
    <w:rsid w:val="6370365C"/>
    <w:rsid w:val="63833AB6"/>
    <w:rsid w:val="63C54B34"/>
    <w:rsid w:val="63F43A2A"/>
    <w:rsid w:val="645A3C1F"/>
    <w:rsid w:val="647942F8"/>
    <w:rsid w:val="65D21B1D"/>
    <w:rsid w:val="66D5507E"/>
    <w:rsid w:val="679C12BF"/>
    <w:rsid w:val="67BE221D"/>
    <w:rsid w:val="68540871"/>
    <w:rsid w:val="68A03BD5"/>
    <w:rsid w:val="68AC4E92"/>
    <w:rsid w:val="69A9676A"/>
    <w:rsid w:val="6A772961"/>
    <w:rsid w:val="6A9A4C71"/>
    <w:rsid w:val="6B7453E2"/>
    <w:rsid w:val="6B924E17"/>
    <w:rsid w:val="6BC24006"/>
    <w:rsid w:val="6C0350D5"/>
    <w:rsid w:val="6C2767E2"/>
    <w:rsid w:val="6CEA579A"/>
    <w:rsid w:val="6D4F2E55"/>
    <w:rsid w:val="6D84075B"/>
    <w:rsid w:val="6D9918FF"/>
    <w:rsid w:val="6DC611F1"/>
    <w:rsid w:val="6E23576C"/>
    <w:rsid w:val="6E8142DD"/>
    <w:rsid w:val="6E861365"/>
    <w:rsid w:val="6EEA295F"/>
    <w:rsid w:val="6EFA3281"/>
    <w:rsid w:val="6F1349A3"/>
    <w:rsid w:val="6F731A83"/>
    <w:rsid w:val="6FE01EBA"/>
    <w:rsid w:val="701C14E9"/>
    <w:rsid w:val="705B5D9A"/>
    <w:rsid w:val="70B05621"/>
    <w:rsid w:val="713D3625"/>
    <w:rsid w:val="71A65C86"/>
    <w:rsid w:val="71BF1D2E"/>
    <w:rsid w:val="71CD0CBC"/>
    <w:rsid w:val="71CD66B5"/>
    <w:rsid w:val="720A6D67"/>
    <w:rsid w:val="727E54C9"/>
    <w:rsid w:val="73065A47"/>
    <w:rsid w:val="730714C3"/>
    <w:rsid w:val="733C0B34"/>
    <w:rsid w:val="7365125A"/>
    <w:rsid w:val="742F4543"/>
    <w:rsid w:val="7471287F"/>
    <w:rsid w:val="74732DE9"/>
    <w:rsid w:val="7500469D"/>
    <w:rsid w:val="75712108"/>
    <w:rsid w:val="75BD3D27"/>
    <w:rsid w:val="76027154"/>
    <w:rsid w:val="77486B4D"/>
    <w:rsid w:val="779C655A"/>
    <w:rsid w:val="77A50CAF"/>
    <w:rsid w:val="77DC291F"/>
    <w:rsid w:val="780A1DC1"/>
    <w:rsid w:val="78192353"/>
    <w:rsid w:val="785B27A8"/>
    <w:rsid w:val="78C11379"/>
    <w:rsid w:val="78DB7236"/>
    <w:rsid w:val="7A0A43E7"/>
    <w:rsid w:val="7A20208A"/>
    <w:rsid w:val="7A864847"/>
    <w:rsid w:val="7ADD5ACD"/>
    <w:rsid w:val="7AEC26A5"/>
    <w:rsid w:val="7B224551"/>
    <w:rsid w:val="7B666ECA"/>
    <w:rsid w:val="7B9D5080"/>
    <w:rsid w:val="7BDF5ACB"/>
    <w:rsid w:val="7CFA7DE7"/>
    <w:rsid w:val="7D4F7D24"/>
    <w:rsid w:val="7D6527D7"/>
    <w:rsid w:val="7D7B2E72"/>
    <w:rsid w:val="7DB77458"/>
    <w:rsid w:val="7DF2527D"/>
    <w:rsid w:val="7E0348E1"/>
    <w:rsid w:val="7E7978E3"/>
    <w:rsid w:val="7E964242"/>
    <w:rsid w:val="7EE72DC0"/>
    <w:rsid w:val="7F222F63"/>
    <w:rsid w:val="7F2501D5"/>
    <w:rsid w:val="7F3136C4"/>
    <w:rsid w:val="7F4C60F8"/>
    <w:rsid w:val="7FE03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unhideWhenUsed/>
    <w:qFormat/>
    <w:uiPriority w:val="99"/>
    <w:pPr>
      <w:jc w:val="left"/>
    </w:pPr>
  </w:style>
  <w:style w:type="paragraph" w:styleId="3">
    <w:name w:val="Balloon Text"/>
    <w:basedOn w:val="1"/>
    <w:link w:val="20"/>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kern w:val="0"/>
      <w:sz w:val="24"/>
    </w:rPr>
  </w:style>
  <w:style w:type="paragraph" w:styleId="7">
    <w:name w:val="annotation subject"/>
    <w:basedOn w:val="2"/>
    <w:next w:val="2"/>
    <w:link w:val="22"/>
    <w:unhideWhenUsed/>
    <w:qFormat/>
    <w:uiPriority w:val="99"/>
    <w:rPr>
      <w:b/>
      <w:bCs/>
    </w:rPr>
  </w:style>
  <w:style w:type="character" w:styleId="10">
    <w:name w:val="Strong"/>
    <w:basedOn w:val="9"/>
    <w:qFormat/>
    <w:uiPriority w:val="22"/>
    <w:rPr>
      <w:b/>
    </w:rPr>
  </w:style>
  <w:style w:type="character" w:styleId="11">
    <w:name w:val="FollowedHyperlink"/>
    <w:basedOn w:val="9"/>
    <w:unhideWhenUsed/>
    <w:qFormat/>
    <w:uiPriority w:val="99"/>
    <w:rPr>
      <w:color w:val="800080"/>
      <w:u w:val="single"/>
    </w:rPr>
  </w:style>
  <w:style w:type="character" w:styleId="12">
    <w:name w:val="Hyperlink"/>
    <w:basedOn w:val="9"/>
    <w:unhideWhenUsed/>
    <w:qFormat/>
    <w:uiPriority w:val="99"/>
    <w:rPr>
      <w:color w:val="0000FF"/>
      <w:u w:val="single"/>
    </w:rPr>
  </w:style>
  <w:style w:type="character" w:styleId="13">
    <w:name w:val="annotation reference"/>
    <w:basedOn w:val="9"/>
    <w:unhideWhenUsed/>
    <w:qFormat/>
    <w:uiPriority w:val="0"/>
    <w:rPr>
      <w:sz w:val="21"/>
      <w:szCs w:val="21"/>
    </w:rPr>
  </w:style>
  <w:style w:type="paragraph" w:styleId="14">
    <w:name w:val="List Paragraph"/>
    <w:basedOn w:val="1"/>
    <w:qFormat/>
    <w:uiPriority w:val="34"/>
    <w:pPr>
      <w:ind w:firstLine="420" w:firstLineChars="200"/>
    </w:pPr>
  </w:style>
  <w:style w:type="paragraph" w:customStyle="1" w:styleId="15">
    <w:name w:val="修订1"/>
    <w:semiHidden/>
    <w:qFormat/>
    <w:uiPriority w:val="99"/>
    <w:rPr>
      <w:rFonts w:ascii="Calibri" w:hAnsi="Calibri" w:eastAsia="宋体" w:cs="Times New Roman"/>
      <w:kern w:val="2"/>
      <w:sz w:val="21"/>
      <w:szCs w:val="24"/>
      <w:lang w:val="en-US" w:eastAsia="zh-CN" w:bidi="ar-SA"/>
    </w:rPr>
  </w:style>
  <w:style w:type="character" w:customStyle="1" w:styleId="16">
    <w:name w:val="页眉 Char"/>
    <w:basedOn w:val="9"/>
    <w:link w:val="5"/>
    <w:qFormat/>
    <w:uiPriority w:val="99"/>
    <w:rPr>
      <w:sz w:val="18"/>
      <w:szCs w:val="18"/>
    </w:rPr>
  </w:style>
  <w:style w:type="character" w:customStyle="1" w:styleId="17">
    <w:name w:val="页脚 Char"/>
    <w:basedOn w:val="9"/>
    <w:link w:val="4"/>
    <w:qFormat/>
    <w:uiPriority w:val="99"/>
    <w:rPr>
      <w:sz w:val="18"/>
      <w:szCs w:val="18"/>
    </w:rPr>
  </w:style>
  <w:style w:type="character" w:customStyle="1" w:styleId="18">
    <w:name w:val="批注文字 Char"/>
    <w:basedOn w:val="9"/>
    <w:link w:val="2"/>
    <w:semiHidden/>
    <w:qFormat/>
    <w:uiPriority w:val="99"/>
    <w:rPr>
      <w:rFonts w:ascii="Calibri" w:hAnsi="Calibri"/>
      <w:kern w:val="2"/>
      <w:sz w:val="21"/>
      <w:szCs w:val="24"/>
    </w:rPr>
  </w:style>
  <w:style w:type="character" w:customStyle="1" w:styleId="19">
    <w:name w:val="18"/>
    <w:unhideWhenUsed/>
    <w:qFormat/>
    <w:uiPriority w:val="0"/>
    <w:rPr>
      <w:color w:val="000000"/>
      <w:sz w:val="18"/>
    </w:rPr>
  </w:style>
  <w:style w:type="character" w:customStyle="1" w:styleId="20">
    <w:name w:val="批注框文本 Char"/>
    <w:basedOn w:val="9"/>
    <w:link w:val="3"/>
    <w:semiHidden/>
    <w:qFormat/>
    <w:uiPriority w:val="99"/>
    <w:rPr>
      <w:rFonts w:ascii="Calibri" w:hAnsi="Calibri"/>
      <w:kern w:val="2"/>
      <w:sz w:val="18"/>
      <w:szCs w:val="18"/>
    </w:rPr>
  </w:style>
  <w:style w:type="character" w:customStyle="1" w:styleId="21">
    <w:name w:val="fontstyle01"/>
    <w:basedOn w:val="9"/>
    <w:qFormat/>
    <w:uiPriority w:val="0"/>
    <w:rPr>
      <w:rFonts w:hint="eastAsia" w:ascii="宋体" w:hAnsi="宋体" w:eastAsia="宋体"/>
      <w:color w:val="000000"/>
      <w:sz w:val="22"/>
      <w:szCs w:val="22"/>
    </w:rPr>
  </w:style>
  <w:style w:type="character" w:customStyle="1" w:styleId="22">
    <w:name w:val="批注主题 Char"/>
    <w:basedOn w:val="18"/>
    <w:link w:val="7"/>
    <w:semiHidden/>
    <w:qFormat/>
    <w:uiPriority w:val="99"/>
    <w:rPr>
      <w:rFonts w:ascii="Calibri" w:hAnsi="Calibri"/>
      <w:b/>
      <w:bCs/>
      <w:kern w:val="2"/>
      <w:sz w:val="21"/>
      <w:szCs w:val="24"/>
    </w:rPr>
  </w:style>
  <w:style w:type="character" w:customStyle="1" w:styleId="23">
    <w:name w:val="fontstyle21"/>
    <w:basedOn w:val="9"/>
    <w:qFormat/>
    <w:uiPriority w:val="0"/>
    <w:rPr>
      <w:rFonts w:hint="default" w:ascii="TimesNewRomanPSMT" w:hAnsi="TimesNewRomanPSMT"/>
      <w:color w:val="000000"/>
      <w:sz w:val="22"/>
      <w:szCs w:val="22"/>
    </w:rPr>
  </w:style>
  <w:style w:type="paragraph" w:customStyle="1" w:styleId="24">
    <w:name w:val="修订2"/>
    <w:hidden/>
    <w:semiHidden/>
    <w:qFormat/>
    <w:uiPriority w:val="99"/>
    <w:rPr>
      <w:rFonts w:ascii="Calibri" w:hAnsi="Calibri" w:eastAsia="宋体" w:cs="Times New Roman"/>
      <w:kern w:val="2"/>
      <w:sz w:val="21"/>
      <w:szCs w:val="24"/>
      <w:lang w:val="en-US" w:eastAsia="zh-CN" w:bidi="ar-SA"/>
    </w:rPr>
  </w:style>
  <w:style w:type="paragraph" w:customStyle="1" w:styleId="25">
    <w:name w:val="Revision"/>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500</Words>
  <Characters>2855</Characters>
  <Lines>23</Lines>
  <Paragraphs>6</Paragraphs>
  <TotalTime>9</TotalTime>
  <ScaleCrop>false</ScaleCrop>
  <LinksUpToDate>false</LinksUpToDate>
  <CharactersWithSpaces>3349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2019-10-31T09:45:00Z</dcterms:created>
  <dc:creator>dell</dc:creator>
  <cp:lastModifiedBy>haiyan</cp:lastModifiedBy>
  <cp:lastPrinted>2019-11-07T09:44:00Z</cp:lastPrinted>
  <dcterms:modified xsi:type="dcterms:W3CDTF">2019-11-07T11:07:44Z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