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2" w:rsidRPr="00DC1E4B" w:rsidRDefault="00703C72" w:rsidP="00142F64">
      <w:pPr>
        <w:spacing w:beforeLines="50" w:afterLines="50" w:line="400" w:lineRule="exact"/>
        <w:jc w:val="center"/>
        <w:rPr>
          <w:rFonts w:asci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</w:t>
      </w:r>
      <w:smartTag w:uri="Tencent" w:element="RTX">
        <w:r>
          <w:rPr>
            <w:rFonts w:ascii="宋体" w:hAnsi="宋体"/>
            <w:bCs/>
            <w:iCs/>
            <w:sz w:val="24"/>
          </w:rPr>
          <w:t>2216</w:t>
        </w:r>
      </w:smartTag>
      <w:r w:rsidRPr="00F7661A">
        <w:rPr>
          <w:rFonts w:ascii="宋体" w:hAnsi="宋体"/>
          <w:bCs/>
          <w:iCs/>
          <w:sz w:val="24"/>
        </w:rPr>
        <w:t xml:space="preserve">             </w:t>
      </w:r>
      <w:r w:rsidR="000A0B88">
        <w:rPr>
          <w:rFonts w:ascii="宋体" w:hAnsi="宋体" w:hint="eastAsia"/>
          <w:bCs/>
          <w:iCs/>
          <w:sz w:val="24"/>
        </w:rPr>
        <w:t xml:space="preserve">               </w:t>
      </w:r>
      <w:r w:rsidRPr="00F7661A">
        <w:rPr>
          <w:rFonts w:ascii="宋体" w:hAnsi="宋体"/>
          <w:bCs/>
          <w:iCs/>
          <w:sz w:val="24"/>
        </w:rPr>
        <w:t xml:space="preserve">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三全食品</w:t>
      </w:r>
    </w:p>
    <w:p w:rsidR="00703C72" w:rsidRPr="00F7661A" w:rsidRDefault="00703C72" w:rsidP="00142F64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三全食品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703C72" w:rsidRPr="00F7661A" w:rsidRDefault="00703C72" w:rsidP="00703C72">
      <w:pPr>
        <w:spacing w:line="400" w:lineRule="exact"/>
        <w:rPr>
          <w:rFonts w:ascii="宋体"/>
          <w:bCs/>
          <w:iCs/>
          <w:sz w:val="24"/>
          <w:szCs w:val="24"/>
        </w:rPr>
      </w:pPr>
      <w:r w:rsidRPr="00F7661A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FA223C">
        <w:rPr>
          <w:rFonts w:ascii="宋体" w:hAnsi="宋体" w:hint="eastAsia"/>
          <w:bCs/>
          <w:iCs/>
          <w:sz w:val="24"/>
          <w:szCs w:val="24"/>
        </w:rPr>
        <w:t>编号：</w:t>
      </w:r>
      <w:r w:rsidRPr="00583506">
        <w:rPr>
          <w:rFonts w:ascii="宋体" w:hAnsi="宋体"/>
          <w:bCs/>
          <w:iCs/>
          <w:sz w:val="24"/>
          <w:szCs w:val="24"/>
        </w:rPr>
        <w:t>201</w:t>
      </w:r>
      <w:r w:rsidR="007E34C0" w:rsidRPr="00583506">
        <w:rPr>
          <w:rFonts w:ascii="宋体" w:hAnsi="宋体" w:hint="eastAsia"/>
          <w:bCs/>
          <w:iCs/>
          <w:sz w:val="24"/>
          <w:szCs w:val="24"/>
        </w:rPr>
        <w:t>9-0</w:t>
      </w:r>
      <w:r w:rsidRPr="00583506">
        <w:rPr>
          <w:rFonts w:ascii="宋体" w:hAnsi="宋体"/>
          <w:bCs/>
          <w:iCs/>
          <w:sz w:val="24"/>
          <w:szCs w:val="24"/>
        </w:rPr>
        <w:t>0</w:t>
      </w:r>
      <w:r w:rsidR="00C21884" w:rsidRPr="00583506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955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67"/>
      </w:tblGrid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03C72" w:rsidRPr="00F7661A" w:rsidRDefault="00703C72" w:rsidP="0078692B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/>
                <w:bCs/>
                <w:iCs/>
                <w:sz w:val="24"/>
                <w:szCs w:val="24"/>
              </w:rPr>
              <w:tab/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3B2D47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3B2D4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567" w:type="dxa"/>
            <w:vAlign w:val="center"/>
          </w:tcPr>
          <w:p w:rsidR="00C27654" w:rsidRPr="00C27654" w:rsidRDefault="00C9583C" w:rsidP="00D733B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国泰君安:张思韡；国金证券：卢周伟；</w:t>
            </w:r>
            <w:proofErr w:type="gramStart"/>
            <w:r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盘京投资</w:t>
            </w:r>
            <w:proofErr w:type="gramEnd"/>
            <w:r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：董博；中银国际：刘航；中国人寿</w:t>
            </w:r>
            <w:r w:rsidR="00162188">
              <w:rPr>
                <w:rFonts w:ascii="宋体" w:hAnsi="宋体" w:hint="eastAsia"/>
                <w:bCs/>
                <w:iCs/>
                <w:sz w:val="24"/>
                <w:szCs w:val="24"/>
              </w:rPr>
              <w:t>养老保险</w:t>
            </w:r>
            <w:r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：徐昊、</w:t>
            </w:r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邹心勇；长城证券：康彬；中信证券：</w:t>
            </w:r>
            <w:proofErr w:type="gramStart"/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顾训丁</w:t>
            </w:r>
            <w:proofErr w:type="gramEnd"/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；广发证券：陈涛；博时基金：</w:t>
            </w:r>
            <w:proofErr w:type="gramStart"/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宋星琦</w:t>
            </w:r>
            <w:proofErr w:type="gramEnd"/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德：张龙</w:t>
            </w:r>
            <w:r w:rsidR="00D733BF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162188">
              <w:rPr>
                <w:rFonts w:ascii="宋体" w:hAnsi="宋体" w:hint="eastAsia"/>
                <w:bCs/>
                <w:iCs/>
                <w:sz w:val="24"/>
                <w:szCs w:val="24"/>
              </w:rPr>
              <w:t>王少成</w:t>
            </w:r>
            <w:r w:rsidR="00A51561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星石投资：张海涛；</w:t>
            </w:r>
            <w:proofErr w:type="gramStart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光证资管</w:t>
            </w:r>
            <w:proofErr w:type="gramEnd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：曾炳祥；建信基金：吴尚伟；山西证券：姜禄彦；西部证券：郭亦骏；</w:t>
            </w:r>
            <w:proofErr w:type="gramStart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国投瑞银</w:t>
            </w:r>
            <w:proofErr w:type="gramEnd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：吉莉；华创证券：方振；华商基金：高大亮；华泰证券：张墨；上海</w:t>
            </w:r>
            <w:proofErr w:type="gramStart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蠡</w:t>
            </w:r>
            <w:proofErr w:type="gramEnd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惠投资：陶</w:t>
            </w:r>
            <w:proofErr w:type="gramStart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世</w:t>
            </w:r>
            <w:proofErr w:type="gramEnd"/>
            <w:r w:rsidR="00E71332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奇；弘毅远方基金：王兴伟；新时代证券：王萌；湘财基金：刘争争；</w:t>
            </w:r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中泰证券：赵雯；</w:t>
            </w:r>
            <w:proofErr w:type="gramStart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涌峰投资</w:t>
            </w:r>
            <w:proofErr w:type="gramEnd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：陈牧迪；呈瑞投资：毛琳；新华养老保险：卢珊；鼎</w:t>
            </w:r>
            <w:proofErr w:type="gramStart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萨</w:t>
            </w:r>
            <w:proofErr w:type="gramEnd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投资：</w:t>
            </w:r>
            <w:proofErr w:type="gramStart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易沛琪</w:t>
            </w:r>
            <w:proofErr w:type="gramEnd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；长盛基金：郝征；兴业基金：张诗悦；太平养老保险：赵莹；光大保德信基金：唐钰蔚；中信证券：史册；海通证券：</w:t>
            </w:r>
            <w:proofErr w:type="gramStart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程碧升</w:t>
            </w:r>
            <w:proofErr w:type="gramEnd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；银河基金：施文琪；国寿安保基金：王韫涵；华泰资产：</w:t>
            </w:r>
            <w:proofErr w:type="gramStart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宫衍海</w:t>
            </w:r>
            <w:proofErr w:type="gramEnd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；聚盛基金：</w:t>
            </w:r>
            <w:proofErr w:type="gramStart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魏冰洁</w:t>
            </w:r>
            <w:proofErr w:type="gramEnd"/>
            <w:r w:rsidR="00E90659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D733BF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中信证券：罗翔；新华基金：张欢；财通证券：毕晓静；财富证券：张昕奕；西南证券：朱会振；安信证券：苏铖；</w:t>
            </w:r>
            <w:r w:rsidR="00162188">
              <w:rPr>
                <w:rFonts w:ascii="宋体" w:hAnsi="宋体" w:hint="eastAsia"/>
                <w:bCs/>
                <w:iCs/>
                <w:sz w:val="24"/>
                <w:szCs w:val="24"/>
              </w:rPr>
              <w:t>上海</w:t>
            </w:r>
            <w:proofErr w:type="gramStart"/>
            <w:r w:rsidR="00162188">
              <w:rPr>
                <w:rFonts w:ascii="宋体" w:hAnsi="宋体" w:hint="eastAsia"/>
                <w:bCs/>
                <w:iCs/>
                <w:sz w:val="24"/>
                <w:szCs w:val="24"/>
              </w:rPr>
              <w:t>彤</w:t>
            </w:r>
            <w:proofErr w:type="gramEnd"/>
            <w:r w:rsidR="00162188">
              <w:rPr>
                <w:rFonts w:ascii="宋体" w:hAnsi="宋体" w:hint="eastAsia"/>
                <w:bCs/>
                <w:iCs/>
                <w:sz w:val="24"/>
                <w:szCs w:val="24"/>
              </w:rPr>
              <w:t>源投资：杨霞；</w:t>
            </w:r>
            <w:r w:rsidR="00D733BF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="00D733BF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金资管</w:t>
            </w:r>
            <w:proofErr w:type="gramEnd"/>
            <w:r w:rsidR="00D733BF" w:rsidRPr="00D733BF">
              <w:rPr>
                <w:rFonts w:ascii="宋体" w:hAnsi="宋体" w:hint="eastAsia"/>
                <w:bCs/>
                <w:iCs/>
                <w:sz w:val="24"/>
                <w:szCs w:val="24"/>
              </w:rPr>
              <w:t>：钱頔玥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567" w:type="dxa"/>
          </w:tcPr>
          <w:p w:rsidR="00703C72" w:rsidRPr="008A5C0D" w:rsidRDefault="00703C72" w:rsidP="00476D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9583C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E34C0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21884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6E564F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21884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07</w:t>
            </w:r>
            <w:r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7E34C0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EE3BBB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7E34C0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C21884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2224FB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583506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2224FB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  <w:r w:rsidRPr="00C9583C">
              <w:rPr>
                <w:rFonts w:ascii="宋体" w:hAnsi="宋体"/>
                <w:bCs/>
                <w:iCs/>
                <w:sz w:val="24"/>
                <w:szCs w:val="24"/>
              </w:rPr>
              <w:t>—</w:t>
            </w:r>
            <w:r w:rsidR="00EE3BBB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C21884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EE3BBB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217B1B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27654"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Pr="00C9583C"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AC4692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AC469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567" w:type="dxa"/>
          </w:tcPr>
          <w:p w:rsidR="007E34C0" w:rsidRPr="00AC4692" w:rsidRDefault="007E34C0" w:rsidP="00FA22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C4692">
              <w:rPr>
                <w:rFonts w:ascii="宋体" w:hAnsi="宋体" w:hint="eastAsia"/>
                <w:bCs/>
                <w:iCs/>
                <w:sz w:val="24"/>
                <w:szCs w:val="24"/>
              </w:rPr>
              <w:t>董事长：陈南</w:t>
            </w:r>
          </w:p>
          <w:p w:rsidR="00703C72" w:rsidRPr="00AC4692" w:rsidRDefault="006E564F" w:rsidP="00FA22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C4692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董事会秘书：李鸿凯</w:t>
            </w:r>
          </w:p>
          <w:p w:rsidR="00266A54" w:rsidRPr="00AC4692" w:rsidRDefault="007E34C0" w:rsidP="00476D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C4692">
              <w:rPr>
                <w:rFonts w:ascii="宋体" w:hAnsi="宋体" w:hint="eastAsia"/>
                <w:bCs/>
                <w:iCs/>
                <w:sz w:val="24"/>
                <w:szCs w:val="24"/>
              </w:rPr>
              <w:t>财务总监：李娜</w:t>
            </w:r>
          </w:p>
          <w:p w:rsidR="00AC4692" w:rsidRPr="00AC4692" w:rsidRDefault="00AC4692" w:rsidP="00476D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C4692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证券事务代表:徐晓</w:t>
            </w:r>
          </w:p>
        </w:tc>
      </w:tr>
      <w:tr w:rsidR="00703C72" w:rsidRPr="0047500E" w:rsidTr="0078692B">
        <w:trPr>
          <w:trHeight w:val="557"/>
          <w:jc w:val="center"/>
        </w:trPr>
        <w:tc>
          <w:tcPr>
            <w:tcW w:w="1985" w:type="dxa"/>
            <w:vAlign w:val="center"/>
          </w:tcPr>
          <w:p w:rsidR="00703C72" w:rsidRPr="00B5603E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B5603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</w:t>
            </w:r>
            <w:r w:rsidRPr="00B5603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主要内容介绍</w:t>
            </w:r>
          </w:p>
          <w:p w:rsidR="00703C72" w:rsidRPr="00B5603E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 w:rsidR="008672A7" w:rsidRDefault="00941201" w:rsidP="008672A7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1</w:t>
            </w:r>
            <w:r w:rsidR="0018747C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672A7">
              <w:rPr>
                <w:rFonts w:ascii="宋体" w:hAnsi="宋体" w:hint="eastAsia"/>
                <w:bCs/>
                <w:iCs/>
                <w:sz w:val="24"/>
                <w:szCs w:val="24"/>
              </w:rPr>
              <w:t>问：公司近期经营方面采取的措施？</w:t>
            </w:r>
          </w:p>
          <w:p w:rsidR="00C21884" w:rsidRPr="00593835" w:rsidRDefault="008672A7" w:rsidP="008672A7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答：一是</w:t>
            </w:r>
            <w:r w:rsidRPr="00E72762">
              <w:rPr>
                <w:rFonts w:ascii="宋体" w:hAnsi="宋体" w:hint="eastAsia"/>
                <w:bCs/>
                <w:iCs/>
                <w:sz w:val="24"/>
                <w:szCs w:val="24"/>
              </w:rPr>
              <w:t>通过调整产品结构，降低生产经营成本；二是优化内部管理，</w:t>
            </w:r>
            <w:r w:rsidRPr="00E72762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提高运行效率；三是调整零售市场价格，传导成本的上涨信息；四是深耕渠道管理，提升市场费用使用效率，继续提高产品竞争力和市场占有率。</w:t>
            </w:r>
          </w:p>
          <w:p w:rsidR="00B5603E" w:rsidRPr="00593835" w:rsidRDefault="004F66B5" w:rsidP="00896784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B5603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、问：公司零售方面的发展情况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,</w:t>
            </w:r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现在的份额如何</w:t>
            </w:r>
            <w:r w:rsidR="00B5603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7F1593" w:rsidRDefault="000854CB" w:rsidP="00896784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F66B5"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公司是全国最大的速冻食品生产企业，中国速冻食品行业的开创者和领导者。公司依托产品、品牌、渠道的优势，已成为全国最大的速冻食品生产企业，市场占有率连续多年位居行业第一。</w:t>
            </w:r>
            <w:r w:rsidR="00C21884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零售市场方面，公司不断加大产品的深化与创新、加快渠道的深耕与优化，拓宽新零售、便利店、电商、团购等业务的合作，扩大了零售业务的发展空间，同时强化价值链的稳定，费用的管控。</w:t>
            </w:r>
          </w:p>
          <w:p w:rsidR="004F66B5" w:rsidRPr="00593835" w:rsidRDefault="004F66B5" w:rsidP="004F66B5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、问：简单介绍一下公司餐饮方面发展的情况？</w:t>
            </w:r>
          </w:p>
          <w:p w:rsidR="004F66B5" w:rsidRPr="00593835" w:rsidRDefault="004F66B5" w:rsidP="004F66B5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答：公司在餐饮市场方面，基于公司自身的产品研发、生产及采购规模化能力、质量管控与冷链配送平台，为连锁餐饮提供一站式标准化及个性化产品</w:t>
            </w:r>
            <w:proofErr w:type="gramStart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的食材供应</w:t>
            </w:r>
            <w:proofErr w:type="gramEnd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服务，其销售模式为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 xml:space="preserve"> “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直营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>+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经销覆盖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>”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，主要深耕快餐、火锅、</w:t>
            </w:r>
            <w:proofErr w:type="gramStart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团餐渠道</w:t>
            </w:r>
            <w:proofErr w:type="gramEnd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场景，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不但与多家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知名餐饮连锁品牌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及大客户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形成深度合作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而且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已构建出服务于全国餐饮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食材经销</w:t>
            </w:r>
            <w:proofErr w:type="gramEnd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服务网络</w:t>
            </w:r>
            <w:r w:rsidR="00142F6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4F66B5" w:rsidRPr="00593835" w:rsidRDefault="004F66B5" w:rsidP="004F66B5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、问：公司餐饮增速如何？</w:t>
            </w:r>
          </w:p>
          <w:p w:rsidR="004F66B5" w:rsidRPr="00593835" w:rsidRDefault="004F66B5" w:rsidP="004F66B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答：目前餐饮市场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一直处于良好的增速态势，公司将继续进一步挖掘潜力。利润方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虽近期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受到原料</w:t>
            </w:r>
            <w:proofErr w:type="gramStart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成本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上涨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的影响，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但公司已采取一系列措施，不断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挖掘素类产品与非肉类产品的产品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空间，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通过品类结构及产品成本的优化降低肉类成本上涨带来的盈利压力，业绩稳步上升。</w:t>
            </w:r>
          </w:p>
          <w:p w:rsidR="004F66B5" w:rsidRDefault="004F66B5" w:rsidP="004F66B5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、问：公司餐饮目前较大的单品有哪些？</w:t>
            </w:r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餐饮市场未来渠道、产品上的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发展目标是什么</w:t>
            </w:r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?</w:t>
            </w:r>
          </w:p>
          <w:p w:rsidR="00AC4692" w:rsidRPr="00593835" w:rsidRDefault="00AC4692" w:rsidP="004F66B5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C4692">
              <w:rPr>
                <w:rFonts w:ascii="宋体" w:hAnsi="宋体" w:hint="eastAsia"/>
                <w:bCs/>
                <w:iCs/>
                <w:sz w:val="24"/>
                <w:szCs w:val="24"/>
              </w:rPr>
              <w:t>答：目前餐饮的主要单品为油条、蒸饺、包子、油炸糯米点心，公司将不断创新技术，为消费者提供高品质的产品和服务。公司将进一步深耕渠道，加强餐饮百强的连锁系统直营渗透，构建中心城市垂直的专业餐饮经销商体系,同时不断提高公司的创新能力，丰富产品种类，释放公司的品牌+产能+规模化优势。</w:t>
            </w:r>
          </w:p>
          <w:p w:rsidR="004F66B5" w:rsidRDefault="004F66B5" w:rsidP="004F66B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6、问：公司在餐饮市场的份额如何？</w:t>
            </w:r>
          </w:p>
          <w:p w:rsidR="004F66B5" w:rsidRDefault="004F66B5" w:rsidP="004F66B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E12E2C">
              <w:rPr>
                <w:rFonts w:ascii="宋体" w:hAnsi="宋体" w:hint="eastAsia"/>
                <w:bCs/>
                <w:iCs/>
                <w:sz w:val="24"/>
                <w:szCs w:val="24"/>
              </w:rPr>
              <w:t>公司为面对竞争激烈、日益成熟的餐饮市场，成立了餐饮事业部，加大餐饮在团餐、社会早餐、优质品牌客户等的合作，</w:t>
            </w:r>
            <w:r w:rsidRPr="003C14FF">
              <w:rPr>
                <w:rFonts w:ascii="宋体" w:hAnsi="宋体" w:hint="eastAsia"/>
                <w:bCs/>
                <w:iCs/>
                <w:sz w:val="24"/>
                <w:szCs w:val="24"/>
              </w:rPr>
              <w:t>在今后的发展中公司将继续秉承以市场为导向，产品创新为依托，质量为本的原则，进一步提高产品的市场占有率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4F66B5" w:rsidRDefault="004F66B5" w:rsidP="004F66B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7、</w:t>
            </w:r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目前产能能否支撑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餐饮</w:t>
            </w:r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的增长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4F66B5" w:rsidRPr="004F66B5" w:rsidRDefault="004F66B5" w:rsidP="004F66B5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公司拥有现代化先进的厂房设施，生产能力和</w:t>
            </w:r>
            <w:proofErr w:type="gramStart"/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装备水</w:t>
            </w:r>
            <w:proofErr w:type="gramEnd"/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平均处于国内领先地位。公司生产基地根据市场需求产能逐步提升，同时优化自身的主力品类，并对头部品类的生产效率进行革新，保证公司产品短期内完成生产并迅速推广到全国各地的终端市场。</w:t>
            </w:r>
          </w:p>
          <w:p w:rsidR="00B5603E" w:rsidRPr="00593835" w:rsidRDefault="004F66B5" w:rsidP="00896784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B5603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、问：公司鲜食目前较大的单品有哪些；与哪些企业合作</w:t>
            </w:r>
            <w:r w:rsidRPr="004F66B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B5603E" w:rsidRPr="00593835" w:rsidRDefault="00B5603E" w:rsidP="00896784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答：鲜食业务目前主要聚焦为国内领先的零售餐饮客户提供高效的商品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和服务，目前核心品类为米类(便当</w:t>
            </w:r>
            <w:r w:rsidR="00142F6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饭团</w:t>
            </w:r>
            <w:r w:rsidR="00142F6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寿司等)，调理面，轻食（沙拉三明治），中式料理等</w:t>
            </w:r>
            <w:r w:rsidR="009F11D7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合作企业有711</w:t>
            </w:r>
            <w:r w:rsidR="009F11D7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，全家，便利蜂，</w:t>
            </w:r>
            <w:proofErr w:type="gramStart"/>
            <w:r w:rsidR="009F11D7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瑞幸咖啡</w:t>
            </w:r>
            <w:proofErr w:type="gramEnd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176E2C">
              <w:rPr>
                <w:rFonts w:ascii="宋体" w:hAnsi="宋体" w:hint="eastAsia"/>
                <w:bCs/>
                <w:iCs/>
                <w:sz w:val="24"/>
                <w:szCs w:val="24"/>
              </w:rPr>
              <w:t>零售客户，以及海底捞、谷田稻香等餐饮客户</w:t>
            </w:r>
            <w:r w:rsidR="009F11D7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B764E" w:rsidRPr="00593835" w:rsidRDefault="004F66B5" w:rsidP="00CB764E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CB764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5603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="00CB764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公司最主要的优势有哪些？未来还会发展哪方面的特长？</w:t>
            </w:r>
          </w:p>
          <w:p w:rsidR="00C53940" w:rsidRPr="00593835" w:rsidRDefault="00BE7191" w:rsidP="00CB764E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CB764E" w:rsidRPr="00593835">
              <w:rPr>
                <w:rFonts w:ascii="宋体" w:hAnsi="宋体"/>
                <w:bCs/>
                <w:iCs/>
                <w:sz w:val="24"/>
                <w:szCs w:val="24"/>
              </w:rPr>
              <w:t>公司一直致力于速冻主业的发展，始终站在中国速冻食品美味、健康领域的前沿，无论从规模还是实力都成为了速冻食品行业的龙头。公司始终坚持科技创新战略，积极提升企业自主创新能力。聚集创新资源、营造创新环境、健全创新体系，鼓励科研人员进行自我学习，了解科技发展新动态。同时，加快推进科技创新载体平台建设，推进与知名高校、科研院所的深度合作，积极承接国家、省、市等科研课题，成为行业升级的领军企业。</w:t>
            </w:r>
          </w:p>
          <w:p w:rsidR="00B5603E" w:rsidRPr="00593835" w:rsidRDefault="004F66B5" w:rsidP="00B5603E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B5603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、问：公司如何应对原材料成本上涨的压力？ </w:t>
            </w:r>
          </w:p>
          <w:p w:rsidR="00B5603E" w:rsidRPr="00593835" w:rsidRDefault="00B5603E" w:rsidP="00CB764E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通过优化内部管理，降低生产经营成本，在主动消化吸收成本上涨的基础上适时合理调整产品价格，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>以降低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原材料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>价格波动影响。</w:t>
            </w:r>
          </w:p>
          <w:p w:rsidR="00CB764E" w:rsidRPr="00593835" w:rsidRDefault="004F66B5" w:rsidP="00B5603E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CB764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5603E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问：公司有无品牌管理的计划？</w:t>
            </w:r>
          </w:p>
          <w:p w:rsidR="00B5603E" w:rsidRDefault="00B5603E" w:rsidP="00176E2C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历来将品牌作为企业核心竞争力之一，历来十分重视品牌效应，重视品牌在行业中和消费者心目中的口碑。公司成立了品牌管理部和品牌推广部，其他部门也积极服务于维护品牌核心利益，并且有品牌管理的制度、规则和规划，核心都是为了维护良好的品牌影响力，从目前来看，公司已经成为行业内的标杆企业之一，品牌影响力不断提升，“三全”及其他</w:t>
            </w:r>
            <w:proofErr w:type="gramStart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子品牌</w:t>
            </w:r>
            <w:proofErr w:type="gramEnd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在消费者心目中形成了非常高的知名度和美誉度。我们会一如既往，加强品牌建设。</w:t>
            </w:r>
          </w:p>
          <w:p w:rsidR="008672A7" w:rsidRPr="00593835" w:rsidRDefault="004F66B5" w:rsidP="008672A7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12</w:t>
            </w:r>
            <w:r w:rsidR="00176E2C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672A7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问：速冻行业的现状如何？</w:t>
            </w:r>
          </w:p>
          <w:p w:rsidR="00176E2C" w:rsidRPr="00593835" w:rsidRDefault="008672A7" w:rsidP="00176E2C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答：近几年速冻食品集中的程度比较明显。未来，中国速冻食品品类将更大，速冻不是一个单一的产品，涵盖面将越来越广，除了主食以外，还会有辅食。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不断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通过品类增加来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扩充</w:t>
            </w: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市场容量。</w:t>
            </w:r>
          </w:p>
          <w:p w:rsidR="00E356D7" w:rsidRPr="00593835" w:rsidRDefault="004F66B5" w:rsidP="00E356D7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13</w:t>
            </w:r>
            <w:r w:rsidR="00E356D7"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、问：公司的研发能力怎么样？</w:t>
            </w:r>
          </w:p>
          <w:p w:rsidR="00E356D7" w:rsidRPr="00593835" w:rsidRDefault="00E356D7" w:rsidP="00A03C89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在科研方面，公司始终坚持科技创新战略，持续加大科研投入，近几年先后承担“国家和省市各级科研项目20余项。在产品结构方面，根据市场需求快速变化的特点，公司及时调整产品结构：重点推出了高端产品“私厨水饺”；开发了针对符合儿童饮食习惯和营养需求的 “儿童水饺、儿童面点、儿童云吞、</w:t>
            </w:r>
            <w:proofErr w:type="gramStart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炫</w:t>
            </w:r>
            <w:proofErr w:type="gramEnd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彩汤圆系列产品”，市场反应良好；研制了定位于上班族市场的“鲜食”系列产品；推出了符合餐饮市场需要的小油条、芝麻球、手抓饼等传统食品，以及牛排、披</w:t>
            </w:r>
            <w:proofErr w:type="gramStart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萨</w:t>
            </w:r>
            <w:proofErr w:type="gramEnd"/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等西式产品。多项产品获得 “方便食品行业创新产品奖”。</w:t>
            </w:r>
          </w:p>
          <w:p w:rsidR="007143B8" w:rsidRPr="001D140B" w:rsidRDefault="004F66B5" w:rsidP="007143B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7143B8" w:rsidRPr="006176C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143B8" w:rsidRPr="00DA0399">
              <w:rPr>
                <w:rFonts w:ascii="宋体" w:hAnsi="宋体" w:hint="eastAsia"/>
                <w:bCs/>
                <w:iCs/>
                <w:sz w:val="24"/>
                <w:szCs w:val="24"/>
              </w:rPr>
              <w:t>问</w:t>
            </w:r>
            <w:r w:rsidR="007143B8">
              <w:rPr>
                <w:rFonts w:ascii="宋体" w:hAnsi="宋体" w:hint="eastAsia"/>
                <w:bCs/>
                <w:iCs/>
                <w:sz w:val="24"/>
                <w:szCs w:val="24"/>
              </w:rPr>
              <w:t>：公司近期推出的新品主要有哪些</w:t>
            </w:r>
            <w:r w:rsidR="007143B8" w:rsidRPr="001D140B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7143B8" w:rsidRDefault="007143B8" w:rsidP="007143B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A0399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公司在产品创新的道路上从未停止过步伐，2019年内公司先后</w:t>
            </w:r>
            <w:proofErr w:type="gramStart"/>
            <w:r w:rsidRPr="007143B8">
              <w:rPr>
                <w:rFonts w:ascii="宋体" w:hAnsi="宋体" w:hint="eastAsia"/>
                <w:bCs/>
                <w:iCs/>
                <w:sz w:val="24"/>
                <w:szCs w:val="24"/>
              </w:rPr>
              <w:t>推出私厨“超级海鲜”</w:t>
            </w:r>
            <w:proofErr w:type="gramEnd"/>
            <w:r w:rsidRPr="007143B8">
              <w:rPr>
                <w:rFonts w:ascii="宋体" w:hAnsi="宋体" w:hint="eastAsia"/>
                <w:bCs/>
                <w:iCs/>
                <w:sz w:val="24"/>
                <w:szCs w:val="24"/>
              </w:rPr>
              <w:t>水饺、“帕尼尼”意式系列早餐、麻辣小龙虾、常温红烧牛肉自热与微波拉面等20多个系列70多个口味新品，市场反响良好，赢得了消费者的普遍信赖和认可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7143B8" w:rsidRDefault="004F66B5" w:rsidP="007143B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 w:rsidR="007143B8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、问：公司对未来股价的预期价格是多少？</w:t>
            </w:r>
          </w:p>
          <w:p w:rsidR="00A03C89" w:rsidRDefault="007143B8" w:rsidP="007143B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2B16BC">
              <w:rPr>
                <w:rFonts w:ascii="宋体" w:hAnsi="宋体" w:hint="eastAsia"/>
                <w:bCs/>
                <w:iCs/>
                <w:sz w:val="24"/>
                <w:szCs w:val="24"/>
              </w:rPr>
              <w:t>公司股价在二级市场上的表现受多方因素影响，所以公司暂不能对未来股价进行预期，但公司历来注重投资者利益回报，公司将一如既往创新产品，不断提高市场占有率，公司管理层会勤勉尽责，提升公司业绩</w:t>
            </w:r>
            <w:r w:rsidRPr="00A94EA9">
              <w:rPr>
                <w:rFonts w:ascii="宋体" w:hAnsi="宋体" w:hint="eastAsia"/>
                <w:bCs/>
                <w:iCs/>
                <w:sz w:val="24"/>
                <w:szCs w:val="24"/>
              </w:rPr>
              <w:t>，以期最大限度回报投资者。</w:t>
            </w:r>
          </w:p>
          <w:p w:rsidR="00A94EA9" w:rsidRPr="00A94EA9" w:rsidRDefault="004F66B5" w:rsidP="007143B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A94EA9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、问：公司接下来的发展目标是什么？</w:t>
            </w:r>
          </w:p>
          <w:p w:rsidR="007143B8" w:rsidRDefault="00A94EA9" w:rsidP="00A94EA9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A94EA9">
              <w:rPr>
                <w:rFonts w:ascii="宋体" w:hAnsi="宋体"/>
                <w:bCs/>
                <w:iCs/>
                <w:sz w:val="24"/>
                <w:szCs w:val="24"/>
              </w:rPr>
              <w:t>公司近几年以来一直把满足消费者需求，为消费者提供多样化产品及加大市场占有率、行业地位作为主要的战略目标，下一步将紧紧围绕公司这一发展方针和目标，不断完善和深化渠道网络，推进品牌战略，加大新产品研发力度，强化食品安全监控，优化内部管理，控制成本费用等手段，不断提升市场占有率和市场竞争力，使公司继续保持行业龙头地位。</w:t>
            </w:r>
          </w:p>
          <w:p w:rsidR="00A94EA9" w:rsidRPr="00593835" w:rsidRDefault="004F66B5" w:rsidP="0059383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17</w:t>
            </w:r>
            <w:r w:rsidR="00A94EA9">
              <w:rPr>
                <w:rFonts w:ascii="宋体" w:hAnsi="宋体" w:hint="eastAsia"/>
                <w:bCs/>
                <w:iCs/>
                <w:sz w:val="24"/>
                <w:szCs w:val="24"/>
              </w:rPr>
              <w:t>、问：</w:t>
            </w:r>
            <w:r w:rsid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关注到公司本次股权激励即将结束，公司在</w:t>
            </w:r>
            <w:r w:rsidR="00A94EA9" w:rsidRPr="00593835">
              <w:rPr>
                <w:rFonts w:ascii="宋体" w:hAnsi="宋体"/>
                <w:bCs/>
                <w:iCs/>
                <w:sz w:val="24"/>
                <w:szCs w:val="24"/>
              </w:rPr>
              <w:t>之后是否会再考虑做股权激励？</w:t>
            </w:r>
          </w:p>
          <w:p w:rsidR="00593835" w:rsidRDefault="00593835" w:rsidP="0059383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9383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593835">
              <w:rPr>
                <w:rFonts w:ascii="宋体" w:hAnsi="宋体"/>
                <w:bCs/>
                <w:iCs/>
                <w:sz w:val="24"/>
                <w:szCs w:val="24"/>
              </w:rPr>
              <w:t>公司会不断通过各种模式激励内部团队，激发人员的工作积极性。</w:t>
            </w:r>
          </w:p>
          <w:p w:rsidR="00E72762" w:rsidRDefault="004F66B5" w:rsidP="0059383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18</w:t>
            </w:r>
            <w:r w:rsidR="00E72762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、问：公司的研发投入主要是什么内容？</w:t>
            </w:r>
          </w:p>
          <w:p w:rsidR="00E72762" w:rsidRDefault="00E72762" w:rsidP="0059383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E72762">
              <w:rPr>
                <w:rFonts w:ascii="宋体" w:hAnsi="宋体"/>
                <w:bCs/>
                <w:iCs/>
                <w:sz w:val="24"/>
                <w:szCs w:val="24"/>
              </w:rPr>
              <w:t>公司研发投入主要包括：试验设备设施投入、新产品市场调研支出、研发人员薪酬、新产品开发试验用原料等。公司各项研发投入有利于公司核心竞争力的提升。公司围绕家庭餐桌和社会餐饮的定位，不断创新产品。</w:t>
            </w:r>
          </w:p>
          <w:p w:rsidR="00E72762" w:rsidRDefault="004F66B5" w:rsidP="00E72762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19</w:t>
            </w:r>
            <w:r w:rsidR="00E72762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、问：公司生产基地的产能如何？</w:t>
            </w:r>
          </w:p>
          <w:p w:rsidR="004F66B5" w:rsidRPr="004F66B5" w:rsidRDefault="00E72762" w:rsidP="004F66B5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72762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E72762">
              <w:rPr>
                <w:rFonts w:ascii="宋体" w:hAnsi="宋体"/>
                <w:bCs/>
                <w:iCs/>
                <w:sz w:val="24"/>
                <w:szCs w:val="24"/>
              </w:rPr>
              <w:t>目前公司在郑州、成都、天津、太仓、佛山等地建有生产基地，生产能力和</w:t>
            </w:r>
            <w:proofErr w:type="gramStart"/>
            <w:r w:rsidRPr="00E72762">
              <w:rPr>
                <w:rFonts w:ascii="宋体" w:hAnsi="宋体"/>
                <w:bCs/>
                <w:iCs/>
                <w:sz w:val="24"/>
                <w:szCs w:val="24"/>
              </w:rPr>
              <w:t>装备水</w:t>
            </w:r>
            <w:proofErr w:type="gramEnd"/>
            <w:r w:rsidRPr="00E72762">
              <w:rPr>
                <w:rFonts w:ascii="宋体" w:hAnsi="宋体"/>
                <w:bCs/>
                <w:iCs/>
                <w:sz w:val="24"/>
                <w:szCs w:val="24"/>
              </w:rPr>
              <w:t>平均处于国内领导地位，各个生产基地的产能公司将根据市场的需求合理安排部署。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  <w:vAlign w:val="center"/>
          </w:tcPr>
          <w:p w:rsidR="00703C72" w:rsidRPr="00B5603E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B5603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67" w:type="dxa"/>
          </w:tcPr>
          <w:p w:rsidR="00703C72" w:rsidRPr="00B5603E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B5603E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  <w:vAlign w:val="center"/>
          </w:tcPr>
          <w:p w:rsidR="00703C72" w:rsidRPr="00B5603E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B5603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567" w:type="dxa"/>
          </w:tcPr>
          <w:p w:rsidR="00703C72" w:rsidRPr="00B5603E" w:rsidRDefault="00703C72" w:rsidP="00476D3D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B5603E"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0A0B88" w:rsidRPr="00B5603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B5603E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A1954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Pr="00B5603E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A1954">
              <w:rPr>
                <w:rFonts w:ascii="宋体" w:hAnsi="宋体" w:hint="eastAsia"/>
                <w:bCs/>
                <w:iCs/>
                <w:sz w:val="24"/>
                <w:szCs w:val="24"/>
              </w:rPr>
              <w:t>07</w:t>
            </w:r>
            <w:r w:rsidRPr="00B5603E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CB5E31" w:rsidRDefault="00CB5E31"/>
    <w:sectPr w:rsidR="00CB5E31" w:rsidSect="006D4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19" w:rsidRDefault="005E0719" w:rsidP="00703C72">
      <w:r>
        <w:separator/>
      </w:r>
    </w:p>
  </w:endnote>
  <w:endnote w:type="continuationSeparator" w:id="1">
    <w:p w:rsidR="005E0719" w:rsidRDefault="005E0719" w:rsidP="0070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19" w:rsidRDefault="005E0719" w:rsidP="00703C72">
      <w:r>
        <w:separator/>
      </w:r>
    </w:p>
  </w:footnote>
  <w:footnote w:type="continuationSeparator" w:id="1">
    <w:p w:rsidR="005E0719" w:rsidRDefault="005E0719" w:rsidP="00703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72"/>
    <w:rsid w:val="00005BC1"/>
    <w:rsid w:val="000125AF"/>
    <w:rsid w:val="000203DE"/>
    <w:rsid w:val="00027AE5"/>
    <w:rsid w:val="000443CC"/>
    <w:rsid w:val="000460AC"/>
    <w:rsid w:val="000462ED"/>
    <w:rsid w:val="0005067E"/>
    <w:rsid w:val="0006410C"/>
    <w:rsid w:val="00067717"/>
    <w:rsid w:val="00077116"/>
    <w:rsid w:val="00083F03"/>
    <w:rsid w:val="000854CB"/>
    <w:rsid w:val="000865AF"/>
    <w:rsid w:val="00092FDE"/>
    <w:rsid w:val="000A0B88"/>
    <w:rsid w:val="000B226D"/>
    <w:rsid w:val="000C042C"/>
    <w:rsid w:val="000C230A"/>
    <w:rsid w:val="000D1BB8"/>
    <w:rsid w:val="000D6095"/>
    <w:rsid w:val="00102C18"/>
    <w:rsid w:val="001250C0"/>
    <w:rsid w:val="00130F46"/>
    <w:rsid w:val="00135BD2"/>
    <w:rsid w:val="00135C1B"/>
    <w:rsid w:val="00142F64"/>
    <w:rsid w:val="001457FC"/>
    <w:rsid w:val="00162188"/>
    <w:rsid w:val="00164B28"/>
    <w:rsid w:val="0017282E"/>
    <w:rsid w:val="0017296C"/>
    <w:rsid w:val="00176E2C"/>
    <w:rsid w:val="0018747C"/>
    <w:rsid w:val="001A1EDB"/>
    <w:rsid w:val="001A3CD1"/>
    <w:rsid w:val="001C0CBE"/>
    <w:rsid w:val="001C1448"/>
    <w:rsid w:val="001D140B"/>
    <w:rsid w:val="001D20E0"/>
    <w:rsid w:val="001D25D3"/>
    <w:rsid w:val="001D4523"/>
    <w:rsid w:val="001D5B1C"/>
    <w:rsid w:val="001F30CE"/>
    <w:rsid w:val="00204FC6"/>
    <w:rsid w:val="00217B1B"/>
    <w:rsid w:val="002224FB"/>
    <w:rsid w:val="0022322C"/>
    <w:rsid w:val="00266A54"/>
    <w:rsid w:val="00286C34"/>
    <w:rsid w:val="002917C4"/>
    <w:rsid w:val="002B16BC"/>
    <w:rsid w:val="002C78EF"/>
    <w:rsid w:val="002F2F46"/>
    <w:rsid w:val="00305EB2"/>
    <w:rsid w:val="00310C38"/>
    <w:rsid w:val="003522A8"/>
    <w:rsid w:val="00356364"/>
    <w:rsid w:val="00374D29"/>
    <w:rsid w:val="00376E3C"/>
    <w:rsid w:val="003B1E9C"/>
    <w:rsid w:val="003B2D47"/>
    <w:rsid w:val="003B3B91"/>
    <w:rsid w:val="003C6B5D"/>
    <w:rsid w:val="003D0B28"/>
    <w:rsid w:val="003E03CD"/>
    <w:rsid w:val="003E19C9"/>
    <w:rsid w:val="003E203B"/>
    <w:rsid w:val="003E4D86"/>
    <w:rsid w:val="003F675B"/>
    <w:rsid w:val="004017FE"/>
    <w:rsid w:val="0043715B"/>
    <w:rsid w:val="00441D9B"/>
    <w:rsid w:val="004446A0"/>
    <w:rsid w:val="004510FC"/>
    <w:rsid w:val="00461FA7"/>
    <w:rsid w:val="004739EB"/>
    <w:rsid w:val="00473D39"/>
    <w:rsid w:val="00476D3D"/>
    <w:rsid w:val="00476EF0"/>
    <w:rsid w:val="0048089C"/>
    <w:rsid w:val="0048190B"/>
    <w:rsid w:val="004848CA"/>
    <w:rsid w:val="00490F71"/>
    <w:rsid w:val="00493FA8"/>
    <w:rsid w:val="004A1954"/>
    <w:rsid w:val="004A255E"/>
    <w:rsid w:val="004A7841"/>
    <w:rsid w:val="004C781F"/>
    <w:rsid w:val="004D43F2"/>
    <w:rsid w:val="004D767E"/>
    <w:rsid w:val="004E0C53"/>
    <w:rsid w:val="004E752E"/>
    <w:rsid w:val="004F66B5"/>
    <w:rsid w:val="00501EF3"/>
    <w:rsid w:val="00525B3D"/>
    <w:rsid w:val="00542623"/>
    <w:rsid w:val="00544E01"/>
    <w:rsid w:val="0055764A"/>
    <w:rsid w:val="00565173"/>
    <w:rsid w:val="0057762C"/>
    <w:rsid w:val="00583506"/>
    <w:rsid w:val="005850D3"/>
    <w:rsid w:val="0059309E"/>
    <w:rsid w:val="00593835"/>
    <w:rsid w:val="00596D78"/>
    <w:rsid w:val="00597ADF"/>
    <w:rsid w:val="005B2F7E"/>
    <w:rsid w:val="005B3599"/>
    <w:rsid w:val="005E0719"/>
    <w:rsid w:val="005F0D6C"/>
    <w:rsid w:val="005F3C23"/>
    <w:rsid w:val="006006CA"/>
    <w:rsid w:val="006251D7"/>
    <w:rsid w:val="0063076A"/>
    <w:rsid w:val="00646775"/>
    <w:rsid w:val="00653EA8"/>
    <w:rsid w:val="00657E8B"/>
    <w:rsid w:val="00660D3D"/>
    <w:rsid w:val="00664EF4"/>
    <w:rsid w:val="00690052"/>
    <w:rsid w:val="006A795A"/>
    <w:rsid w:val="006B6794"/>
    <w:rsid w:val="006E435B"/>
    <w:rsid w:val="006E564F"/>
    <w:rsid w:val="006F7515"/>
    <w:rsid w:val="00703C72"/>
    <w:rsid w:val="00712F13"/>
    <w:rsid w:val="007143B8"/>
    <w:rsid w:val="007170B0"/>
    <w:rsid w:val="007306E9"/>
    <w:rsid w:val="00734238"/>
    <w:rsid w:val="007362A7"/>
    <w:rsid w:val="00737DD3"/>
    <w:rsid w:val="0077004B"/>
    <w:rsid w:val="00770635"/>
    <w:rsid w:val="00772265"/>
    <w:rsid w:val="00786BDD"/>
    <w:rsid w:val="00792B5F"/>
    <w:rsid w:val="007A28B7"/>
    <w:rsid w:val="007A4C9C"/>
    <w:rsid w:val="007A5F15"/>
    <w:rsid w:val="007B0274"/>
    <w:rsid w:val="007C7F67"/>
    <w:rsid w:val="007E0EBB"/>
    <w:rsid w:val="007E34C0"/>
    <w:rsid w:val="007F0FD9"/>
    <w:rsid w:val="007F1593"/>
    <w:rsid w:val="007F3EE0"/>
    <w:rsid w:val="00831EC7"/>
    <w:rsid w:val="00835EDC"/>
    <w:rsid w:val="00837255"/>
    <w:rsid w:val="008418A3"/>
    <w:rsid w:val="00847E64"/>
    <w:rsid w:val="008542ED"/>
    <w:rsid w:val="008666B8"/>
    <w:rsid w:val="008672A7"/>
    <w:rsid w:val="00896784"/>
    <w:rsid w:val="008A609A"/>
    <w:rsid w:val="008B583E"/>
    <w:rsid w:val="008B74F2"/>
    <w:rsid w:val="008E7E71"/>
    <w:rsid w:val="00903A22"/>
    <w:rsid w:val="00937EF7"/>
    <w:rsid w:val="00941201"/>
    <w:rsid w:val="00942A64"/>
    <w:rsid w:val="00953578"/>
    <w:rsid w:val="0095438F"/>
    <w:rsid w:val="0097598F"/>
    <w:rsid w:val="009824A7"/>
    <w:rsid w:val="00982B4B"/>
    <w:rsid w:val="00984047"/>
    <w:rsid w:val="009943E4"/>
    <w:rsid w:val="009A1A10"/>
    <w:rsid w:val="009B5DBC"/>
    <w:rsid w:val="009C7AC4"/>
    <w:rsid w:val="009E1A13"/>
    <w:rsid w:val="009F06BC"/>
    <w:rsid w:val="009F11D7"/>
    <w:rsid w:val="009F1616"/>
    <w:rsid w:val="00A03C89"/>
    <w:rsid w:val="00A07F13"/>
    <w:rsid w:val="00A154B3"/>
    <w:rsid w:val="00A156D3"/>
    <w:rsid w:val="00A16C4A"/>
    <w:rsid w:val="00A368CB"/>
    <w:rsid w:val="00A471AB"/>
    <w:rsid w:val="00A50603"/>
    <w:rsid w:val="00A51561"/>
    <w:rsid w:val="00A56201"/>
    <w:rsid w:val="00A81B97"/>
    <w:rsid w:val="00A937B0"/>
    <w:rsid w:val="00A94EA9"/>
    <w:rsid w:val="00AB32A9"/>
    <w:rsid w:val="00AC0ED8"/>
    <w:rsid w:val="00AC4692"/>
    <w:rsid w:val="00AE180E"/>
    <w:rsid w:val="00B02B10"/>
    <w:rsid w:val="00B16092"/>
    <w:rsid w:val="00B22DE4"/>
    <w:rsid w:val="00B33BCF"/>
    <w:rsid w:val="00B41AA6"/>
    <w:rsid w:val="00B51548"/>
    <w:rsid w:val="00B55710"/>
    <w:rsid w:val="00B5603E"/>
    <w:rsid w:val="00B61523"/>
    <w:rsid w:val="00B84B01"/>
    <w:rsid w:val="00B966AD"/>
    <w:rsid w:val="00B97004"/>
    <w:rsid w:val="00B974F2"/>
    <w:rsid w:val="00BB291C"/>
    <w:rsid w:val="00BD2989"/>
    <w:rsid w:val="00BE7191"/>
    <w:rsid w:val="00C1154E"/>
    <w:rsid w:val="00C21884"/>
    <w:rsid w:val="00C27654"/>
    <w:rsid w:val="00C46D17"/>
    <w:rsid w:val="00C51793"/>
    <w:rsid w:val="00C53940"/>
    <w:rsid w:val="00C60802"/>
    <w:rsid w:val="00C60A18"/>
    <w:rsid w:val="00C745D5"/>
    <w:rsid w:val="00C90D89"/>
    <w:rsid w:val="00C951CD"/>
    <w:rsid w:val="00C9583C"/>
    <w:rsid w:val="00C96966"/>
    <w:rsid w:val="00CA57B1"/>
    <w:rsid w:val="00CB5E31"/>
    <w:rsid w:val="00CB6D02"/>
    <w:rsid w:val="00CB702B"/>
    <w:rsid w:val="00CB764E"/>
    <w:rsid w:val="00CE211D"/>
    <w:rsid w:val="00CE3C70"/>
    <w:rsid w:val="00CF0D35"/>
    <w:rsid w:val="00CF3D04"/>
    <w:rsid w:val="00CF42AF"/>
    <w:rsid w:val="00CF4B6B"/>
    <w:rsid w:val="00CF6E33"/>
    <w:rsid w:val="00D22879"/>
    <w:rsid w:val="00D30562"/>
    <w:rsid w:val="00D311A7"/>
    <w:rsid w:val="00D43CE5"/>
    <w:rsid w:val="00D43D7F"/>
    <w:rsid w:val="00D43E11"/>
    <w:rsid w:val="00D53C73"/>
    <w:rsid w:val="00D55AAF"/>
    <w:rsid w:val="00D5702A"/>
    <w:rsid w:val="00D574A8"/>
    <w:rsid w:val="00D733BF"/>
    <w:rsid w:val="00D73CA7"/>
    <w:rsid w:val="00D75CBF"/>
    <w:rsid w:val="00D932B6"/>
    <w:rsid w:val="00D97C52"/>
    <w:rsid w:val="00DB2C65"/>
    <w:rsid w:val="00DB3BE8"/>
    <w:rsid w:val="00E2526D"/>
    <w:rsid w:val="00E30653"/>
    <w:rsid w:val="00E316E3"/>
    <w:rsid w:val="00E356D7"/>
    <w:rsid w:val="00E451E0"/>
    <w:rsid w:val="00E71332"/>
    <w:rsid w:val="00E72762"/>
    <w:rsid w:val="00E85AA5"/>
    <w:rsid w:val="00E90659"/>
    <w:rsid w:val="00E931BA"/>
    <w:rsid w:val="00E9504A"/>
    <w:rsid w:val="00EA4721"/>
    <w:rsid w:val="00EC0129"/>
    <w:rsid w:val="00EC383D"/>
    <w:rsid w:val="00ED345F"/>
    <w:rsid w:val="00EE00AB"/>
    <w:rsid w:val="00EE251F"/>
    <w:rsid w:val="00EE3BBB"/>
    <w:rsid w:val="00EF5EAE"/>
    <w:rsid w:val="00F05E50"/>
    <w:rsid w:val="00F1313E"/>
    <w:rsid w:val="00F14C44"/>
    <w:rsid w:val="00F21C5B"/>
    <w:rsid w:val="00F24F20"/>
    <w:rsid w:val="00F3371D"/>
    <w:rsid w:val="00F36904"/>
    <w:rsid w:val="00F46B95"/>
    <w:rsid w:val="00F55F01"/>
    <w:rsid w:val="00F63890"/>
    <w:rsid w:val="00F65093"/>
    <w:rsid w:val="00F71A00"/>
    <w:rsid w:val="00F805C2"/>
    <w:rsid w:val="00F80A4B"/>
    <w:rsid w:val="00F959C2"/>
    <w:rsid w:val="00FA223C"/>
    <w:rsid w:val="00FB00BC"/>
    <w:rsid w:val="00FB1735"/>
    <w:rsid w:val="00FC5E3A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C72"/>
    <w:rPr>
      <w:sz w:val="18"/>
      <w:szCs w:val="18"/>
    </w:rPr>
  </w:style>
  <w:style w:type="paragraph" w:styleId="a5">
    <w:name w:val="List Paragraph"/>
    <w:basedOn w:val="a"/>
    <w:uiPriority w:val="34"/>
    <w:qFormat/>
    <w:rsid w:val="00EE3BB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A57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57B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43F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D43F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D43F2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D43F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D43F2"/>
    <w:rPr>
      <w:b/>
      <w:bCs/>
    </w:rPr>
  </w:style>
  <w:style w:type="paragraph" w:customStyle="1" w:styleId="tbar">
    <w:name w:val="tbar"/>
    <w:basedOn w:val="a"/>
    <w:rsid w:val="00CB76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72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sanquan</dc:creator>
  <cp:lastModifiedBy>sanquan</cp:lastModifiedBy>
  <cp:revision>2</cp:revision>
  <cp:lastPrinted>2019-06-12T08:49:00Z</cp:lastPrinted>
  <dcterms:created xsi:type="dcterms:W3CDTF">2019-11-08T02:54:00Z</dcterms:created>
  <dcterms:modified xsi:type="dcterms:W3CDTF">2019-11-08T02:54:00Z</dcterms:modified>
</cp:coreProperties>
</file>