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D2" w:rsidRDefault="0080700A">
      <w:pPr>
        <w:spacing w:line="6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证券代码：000672</w:t>
      </w:r>
      <w:r>
        <w:rPr>
          <w:rFonts w:ascii="宋体" w:hAnsi="宋体"/>
          <w:bCs/>
          <w:iCs/>
          <w:color w:val="000000"/>
          <w:sz w:val="24"/>
        </w:rPr>
        <w:t xml:space="preserve">                                   </w:t>
      </w:r>
      <w:r>
        <w:rPr>
          <w:rFonts w:ascii="宋体" w:hAnsi="宋体" w:hint="eastAsia"/>
          <w:bCs/>
          <w:iCs/>
          <w:color w:val="000000"/>
          <w:sz w:val="24"/>
        </w:rPr>
        <w:t>证券简称：上峰水泥</w:t>
      </w:r>
    </w:p>
    <w:p w:rsidR="008E41D2" w:rsidRDefault="0080700A">
      <w:pPr>
        <w:spacing w:beforeLines="50" w:before="156" w:afterLines="50" w:after="156" w:line="360" w:lineRule="auto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eastAsia="黑体"/>
          <w:b/>
          <w:noProof/>
          <w:sz w:val="30"/>
          <w:szCs w:val="30"/>
        </w:rPr>
        <w:drawing>
          <wp:inline distT="0" distB="0" distL="0" distR="0">
            <wp:extent cx="902970" cy="798195"/>
            <wp:effectExtent l="19050" t="0" r="0" b="0"/>
            <wp:docPr id="2" name="图片 1" descr="公司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公司标志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3280" cy="79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D2" w:rsidRDefault="0080700A">
      <w:pPr>
        <w:spacing w:line="360" w:lineRule="auto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甘肃上峰水泥股份有限公司</w:t>
      </w:r>
    </w:p>
    <w:p w:rsidR="008E41D2" w:rsidRDefault="0080700A">
      <w:pPr>
        <w:spacing w:line="360" w:lineRule="auto"/>
        <w:jc w:val="center"/>
        <w:rPr>
          <w:rFonts w:asciiTheme="minorEastAsia" w:eastAsiaTheme="minorEastAsia" w:hAnsiTheme="minorEastAsia"/>
          <w:b/>
          <w:bCs/>
          <w:iCs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8E41D2" w:rsidRDefault="0080700A">
      <w:pPr>
        <w:spacing w:line="6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编号：201</w:t>
      </w:r>
      <w:r>
        <w:rPr>
          <w:rFonts w:ascii="宋体" w:hAnsi="宋体"/>
          <w:bCs/>
          <w:iCs/>
          <w:color w:val="000000"/>
          <w:sz w:val="24"/>
        </w:rPr>
        <w:t>9</w:t>
      </w:r>
      <w:r>
        <w:rPr>
          <w:rFonts w:ascii="宋体" w:hAnsi="宋体" w:hint="eastAsia"/>
          <w:bCs/>
          <w:iCs/>
          <w:color w:val="000000"/>
          <w:sz w:val="24"/>
        </w:rPr>
        <w:t>-004</w:t>
      </w:r>
    </w:p>
    <w:tbl>
      <w:tblPr>
        <w:tblStyle w:val="a6"/>
        <w:tblW w:w="84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77"/>
        <w:gridCol w:w="6666"/>
      </w:tblGrid>
      <w:tr w:rsidR="008E41D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13047D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80700A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特定对象调研        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80700A">
              <w:rPr>
                <w:rFonts w:asciiTheme="minorEastAsia" w:eastAsiaTheme="minorEastAsia" w:hAnsiTheme="minorEastAsia" w:hint="eastAsia"/>
                <w:kern w:val="0"/>
                <w:sz w:val="24"/>
              </w:rPr>
              <w:t>分析师会议</w:t>
            </w:r>
          </w:p>
          <w:p w:rsidR="008E41D2" w:rsidRDefault="0080700A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媒体采访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业绩说明会</w:t>
            </w:r>
          </w:p>
          <w:p w:rsidR="008E41D2" w:rsidRDefault="0080700A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新闻发布会          </w:t>
            </w:r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路演活动</w:t>
            </w:r>
          </w:p>
          <w:p w:rsidR="008E41D2" w:rsidRDefault="0080700A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ab/>
            </w:r>
          </w:p>
          <w:p w:rsidR="008E41D2" w:rsidRDefault="0080700A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其他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 xml:space="preserve"> </w:t>
            </w:r>
          </w:p>
        </w:tc>
      </w:tr>
      <w:tr w:rsidR="008E41D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C23506" w:rsidP="00C23506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  <w:highlight w:val="yellow"/>
              </w:rPr>
            </w:pPr>
            <w:r w:rsidRPr="00B75D91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参会</w:t>
            </w:r>
            <w:r w:rsidRPr="00B75D91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名单如下</w:t>
            </w:r>
            <w:r w:rsidRPr="00B75D91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（排名</w:t>
            </w:r>
            <w:r w:rsidRPr="00B75D91"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  <w:t>不分先后</w:t>
            </w:r>
            <w:r w:rsidRPr="00B75D91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：</w:t>
            </w:r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上海珩道投资管理有限公司：马硕、吴红翠；</w:t>
            </w:r>
            <w:proofErr w:type="gramStart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远东宏</w:t>
            </w:r>
            <w:proofErr w:type="gramEnd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信：彭颢魏；海佑投资：王晶晶；青</w:t>
            </w:r>
            <w:proofErr w:type="gramStart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霖</w:t>
            </w:r>
            <w:proofErr w:type="gramEnd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资产：</w:t>
            </w:r>
            <w:proofErr w:type="gramStart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严天勇</w:t>
            </w:r>
            <w:proofErr w:type="gramEnd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；朗程投资：</w:t>
            </w:r>
            <w:proofErr w:type="gramStart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古勇平</w:t>
            </w:r>
            <w:proofErr w:type="gramEnd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；向日葵投资：宋彦茹；牧</w:t>
            </w:r>
            <w:proofErr w:type="gramStart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鑫</w:t>
            </w:r>
            <w:proofErr w:type="gramEnd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资产：胡华青；上海聆泽投资管理有限公司：朱伟琪；上海鸣熙资产管理有限公司：郝庆峰；华泰柏瑞基金管理有限公司：</w:t>
            </w:r>
            <w:proofErr w:type="gramStart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徐笔龙</w:t>
            </w:r>
            <w:proofErr w:type="gramEnd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；海通证券：冯晨阳；国盛证券：石峰源；新华基金：</w:t>
            </w:r>
            <w:r w:rsidR="00EE56C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张永超、</w:t>
            </w:r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谷航；光大证券：陈</w:t>
            </w:r>
            <w:proofErr w:type="gramStart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浩</w:t>
            </w:r>
            <w:proofErr w:type="gramEnd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武；华安基金：苏绪盛；</w:t>
            </w:r>
            <w:proofErr w:type="gramStart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申万菱</w:t>
            </w:r>
            <w:proofErr w:type="gramEnd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信基金：廖明兵；广发证券：邹戈；兴业证券：陈文；中</w:t>
            </w:r>
            <w:proofErr w:type="gramStart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金资管</w:t>
            </w:r>
            <w:proofErr w:type="gramEnd"/>
            <w:r w:rsidR="0013047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：黄婷；</w:t>
            </w:r>
            <w:r w:rsidR="00EE56C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国泰君安：黄涛；</w:t>
            </w:r>
            <w:proofErr w:type="gramStart"/>
            <w:r w:rsidR="00EE56C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汇添富</w:t>
            </w:r>
            <w:proofErr w:type="gramEnd"/>
            <w:r w:rsidR="00EE56C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：肖锋；海富通：张书恺；国金证券：邱友峰；德邦基金：徐</w:t>
            </w:r>
            <w:proofErr w:type="gramStart"/>
            <w:r w:rsidR="00EE56C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一</w:t>
            </w:r>
            <w:proofErr w:type="gramEnd"/>
            <w:r w:rsidR="00EE56C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阳；</w:t>
            </w:r>
            <w:r w:rsidR="00503AF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合</w:t>
            </w:r>
            <w:proofErr w:type="gramStart"/>
            <w:r w:rsidR="00503AF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晟</w:t>
            </w:r>
            <w:proofErr w:type="gramEnd"/>
            <w:r w:rsidR="00503AF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资产：包丽华；贝莱德投资：唐华。</w:t>
            </w:r>
          </w:p>
        </w:tc>
      </w:tr>
      <w:tr w:rsidR="008E41D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201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年11月8日</w:t>
            </w:r>
          </w:p>
        </w:tc>
      </w:tr>
      <w:tr w:rsidR="008E41D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上海市浦东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新区世纪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大道210号四季酒店</w:t>
            </w:r>
            <w:r w:rsidR="00503AF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二楼会议室</w:t>
            </w:r>
          </w:p>
        </w:tc>
      </w:tr>
      <w:tr w:rsidR="008E41D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480" w:lineRule="atLeast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董事长兼总经理：俞锋</w:t>
            </w:r>
            <w:r w:rsidR="00503AF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副总经理兼董事会秘书：瞿辉</w:t>
            </w:r>
            <w:r w:rsidR="00503AF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；</w:t>
            </w:r>
          </w:p>
          <w:p w:rsidR="008E41D2" w:rsidRDefault="0080700A" w:rsidP="00503AF8">
            <w:pPr>
              <w:spacing w:line="480" w:lineRule="atLeast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安徽上峰杰夏</w:t>
            </w:r>
            <w:r w:rsidR="00503AF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环保科技有限责任公司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董事：夏</w:t>
            </w:r>
            <w:r w:rsidR="00503AF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建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 xml:space="preserve">峰 </w:t>
            </w:r>
          </w:p>
        </w:tc>
      </w:tr>
      <w:tr w:rsidR="008E41D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lastRenderedPageBreak/>
              <w:t>投资者关系活动主要内容介绍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06" w:rsidRPr="007A24DB" w:rsidRDefault="00C23506" w:rsidP="00C23506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A24D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一、公司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情况简介</w:t>
            </w:r>
          </w:p>
          <w:p w:rsidR="00C23506" w:rsidRDefault="00C23506" w:rsidP="00C23506">
            <w:pPr>
              <w:spacing w:line="480" w:lineRule="atLeast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首先由公司副总经理兼</w:t>
            </w:r>
            <w:r w:rsidRPr="0024333B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董事会秘书</w:t>
            </w:r>
            <w:r w:rsidRPr="00866AC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瞿辉先生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向</w:t>
            </w:r>
            <w:r w:rsidRPr="00866AC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与会人员就上峰水泥市场规模、经营情况、行业比较、竞争优势、公司管理、环保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产业</w:t>
            </w:r>
            <w:r w:rsidRPr="00866ACF"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、战略布局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 w:val="24"/>
              </w:rPr>
              <w:t>等方面进行了全面的介绍。</w:t>
            </w:r>
          </w:p>
          <w:p w:rsidR="00C23506" w:rsidRPr="007A24DB" w:rsidRDefault="00C23506" w:rsidP="00C23506">
            <w:pPr>
              <w:spacing w:line="480" w:lineRule="atLeast"/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</w:pPr>
            <w:r w:rsidRPr="007A24DB">
              <w:rPr>
                <w:rFonts w:asciiTheme="minorEastAsia" w:eastAsiaTheme="minorEastAsia" w:hAnsiTheme="minorEastAsia"/>
                <w:b/>
                <w:bCs/>
                <w:iCs/>
                <w:color w:val="000000"/>
                <w:sz w:val="24"/>
              </w:rPr>
              <w:t>二</w:t>
            </w:r>
            <w:r w:rsidRPr="007A24DB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sz w:val="24"/>
              </w:rPr>
              <w:t>、互动交流环节</w:t>
            </w:r>
          </w:p>
          <w:p w:rsidR="008E41D2" w:rsidRDefault="0080700A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1、请介绍中国建材对公司有哪些支持？</w:t>
            </w:r>
          </w:p>
          <w:p w:rsidR="008E41D2" w:rsidRDefault="008070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答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：首先，中国建材通过</w:t>
            </w:r>
            <w:r w:rsidR="003F4A6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下属子公司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南方水泥长期持有公司股票</w:t>
            </w:r>
            <w:r w:rsidR="003F4A6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，目前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是公司</w:t>
            </w:r>
            <w:r w:rsidR="003F4A6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第二大股东，最近</w:t>
            </w:r>
            <w:r w:rsidR="003F4A6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主动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承诺将持有</w:t>
            </w:r>
            <w:r w:rsidR="003F4A6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我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司股票</w:t>
            </w:r>
            <w:r w:rsidR="003F4A6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全部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锁定一年，彰显了对公司长期稳健发展的信心，同时南方水泥委派人员担任公司副董事长，多年来支持公司经营发展各种决策，对公司的战略布局有指导作用，对公司发展方向具有引领作用。</w:t>
            </w:r>
          </w:p>
          <w:p w:rsidR="008E41D2" w:rsidRDefault="0080700A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2、请简要介绍公司环保协同处置方面的优势</w:t>
            </w: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  <w:t>？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介绍</w:t>
            </w:r>
            <w:proofErr w:type="gramStart"/>
            <w:r w:rsidR="00DB101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一下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危废和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一般固废的毛利率</w:t>
            </w:r>
            <w:r w:rsidR="00DB1014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等情况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？</w:t>
            </w:r>
          </w:p>
          <w:p w:rsidR="008E41D2" w:rsidRDefault="008070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答：目前公司水泥窑协同处置有两个项目已经取得环保部门批复，并已开工建设，分别位于安徽铜陵</w:t>
            </w:r>
            <w:r w:rsidR="00DB101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生产基地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和宁夏吴忠盐池县</w:t>
            </w:r>
            <w:r w:rsidR="00DB101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新收购的宁夏萌生环保科技有限公司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。</w:t>
            </w:r>
          </w:p>
          <w:p w:rsidR="008E41D2" w:rsidRDefault="00DB101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公司水泥窑协同处置启动较晚，产能规模相对不大，但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有两个优势：项目单体产能大，成本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节约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，项目区位比较好。位于铜陵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基地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环保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具备</w:t>
            </w:r>
            <w:r>
              <w:rPr>
                <w:rFonts w:hint="eastAsia"/>
                <w:sz w:val="24"/>
              </w:rPr>
              <w:t>年产</w:t>
            </w:r>
            <w:r>
              <w:rPr>
                <w:rFonts w:hint="eastAsia"/>
                <w:sz w:val="24"/>
              </w:rPr>
              <w:t>33</w:t>
            </w:r>
            <w:r>
              <w:rPr>
                <w:rFonts w:hint="eastAsia"/>
                <w:sz w:val="24"/>
              </w:rPr>
              <w:t>万吨</w:t>
            </w:r>
            <w:proofErr w:type="gramStart"/>
            <w:r>
              <w:rPr>
                <w:rFonts w:hint="eastAsia"/>
                <w:sz w:val="24"/>
              </w:rPr>
              <w:t>危固废</w:t>
            </w:r>
            <w:proofErr w:type="gramEnd"/>
            <w:r>
              <w:rPr>
                <w:rFonts w:hint="eastAsia"/>
                <w:sz w:val="24"/>
              </w:rPr>
              <w:t>、生活垃圾处理；其中，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18万吨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为</w:t>
            </w:r>
            <w:proofErr w:type="gramStart"/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危废处理</w:t>
            </w:r>
            <w:proofErr w:type="gramEnd"/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产能，15万吨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为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一般固</w:t>
            </w:r>
            <w:proofErr w:type="gramStart"/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废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处理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产能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未来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效益比较好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。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宁夏项目水泥窑协同处置、油泥、填埋场三位一体，位于中国煤化工、石油化工聚集地，能源之都，毗邻长庆油田，承接长庆油田油淤泥处置。</w:t>
            </w:r>
          </w:p>
          <w:p w:rsidR="008E41D2" w:rsidRDefault="00DB1014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水泥窑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协同处置项目</w:t>
            </w:r>
            <w:proofErr w:type="gramStart"/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中危废处置</w:t>
            </w:r>
            <w:proofErr w:type="gramEnd"/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的毛利远高于一般固废，同时两者毛利与项目区位有很大关系，比如铜陵项目位于长三角地区，长三角发达城市处置废弃物能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力不够，所以铜陵项目承接安徽本地及周边长三角发达城市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的危废处置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，比如江苏、上海等地区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，需求比较旺盛，根据项目测算，铜陵</w:t>
            </w:r>
            <w:proofErr w:type="gramStart"/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项目危废毛利率</w:t>
            </w:r>
            <w:proofErr w:type="gramEnd"/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预计在40%-60%，一般固废处置毛利率较低，但一般由政</w:t>
            </w:r>
            <w:r w:rsidR="0080700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lastRenderedPageBreak/>
              <w:t>府付费，由此带来边际效应，水泥窑错峰停窑时间减少，提高了水泥窑运转率。</w:t>
            </w:r>
          </w:p>
          <w:p w:rsidR="008E41D2" w:rsidRDefault="0080700A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、请问铜陵项目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18万吨危废处置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是一次性建设还是分阶段建设？处理量达到设计产能需要多长时间？</w:t>
            </w:r>
          </w:p>
          <w:p w:rsidR="008E41D2" w:rsidRDefault="008070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答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：</w:t>
            </w:r>
            <w:r w:rsidR="007364C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铜陵水泥窑协同处置项目是一次性投资建设，目前已经启动，预计在2</w:t>
            </w:r>
            <w:r w:rsidR="007364C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020年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8月底投入使用。关于产能释放，在保证水泥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窑正常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生产水泥熟料的前提下，缓慢增加废弃物处置产能，在市场需求和技术满足的情况下，基本半年至一年时间达到项目设计产能。</w:t>
            </w:r>
          </w:p>
          <w:p w:rsidR="008E41D2" w:rsidRDefault="0080700A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4、</w:t>
            </w: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  <w:t>请简要介绍宁夏环保项目情况？</w:t>
            </w:r>
          </w:p>
          <w:p w:rsidR="008E41D2" w:rsidRDefault="0080700A">
            <w:pPr>
              <w:spacing w:line="360" w:lineRule="auto"/>
              <w:ind w:firstLineChars="200" w:firstLine="480"/>
              <w:rPr>
                <w:rFonts w:ascii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答：</w:t>
            </w:r>
            <w:r w:rsid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公司</w:t>
            </w:r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宁夏环保项目计划利用公司水泥窑生产线协同处置固废物，建成后每年可处理油井污泥、含油污泥、煤焦油残渣、精馏残渣、废酸等40余类别的固体废物共</w:t>
            </w:r>
            <w:r w:rsid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计约</w:t>
            </w:r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17万吨，是宁夏地区唯一水泥窑协同</w:t>
            </w:r>
            <w:proofErr w:type="gramStart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处置危废项目</w:t>
            </w:r>
            <w:proofErr w:type="gramEnd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；同时其</w:t>
            </w:r>
            <w:proofErr w:type="gramStart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危废安全</w:t>
            </w:r>
            <w:proofErr w:type="gramEnd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填埋场项目有效库存容为109万立方米，是西北地区规模最大的</w:t>
            </w:r>
            <w:proofErr w:type="gramStart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工业危废填埋</w:t>
            </w:r>
            <w:proofErr w:type="gramEnd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场。项目预计2020年8月投入运营，建成后具备废弃物收集、运输、储存、处置能力，针对周边地区重工业遍布、</w:t>
            </w:r>
            <w:proofErr w:type="gramStart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危废处置</w:t>
            </w:r>
            <w:proofErr w:type="gramEnd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市场旺盛的需求，公司将成为西北</w:t>
            </w:r>
            <w:proofErr w:type="gramStart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地区危废处置</w:t>
            </w:r>
            <w:proofErr w:type="gramEnd"/>
            <w:r w:rsidR="00A21456" w:rsidRPr="00A2145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环保产业的重</w:t>
            </w:r>
            <w:r w:rsidR="00A21456" w:rsidRPr="000E702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要基地。</w:t>
            </w:r>
            <w:r w:rsidR="000E702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宁夏水泥窑协同处置项目</w:t>
            </w:r>
            <w:r w:rsidR="000E7027" w:rsidRPr="000E7027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基地不仅将成为公司效益增长新亮点，也将为当地经济社会发展做出更大的贡献。</w:t>
            </w:r>
          </w:p>
          <w:p w:rsidR="008E41D2" w:rsidRDefault="0080700A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iCs/>
                <w:color w:val="000000"/>
                <w:kern w:val="0"/>
                <w:sz w:val="24"/>
              </w:rPr>
              <w:t>5</w:t>
            </w:r>
            <w:r w:rsidR="00FA274C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、</w:t>
            </w:r>
            <w:proofErr w:type="gramStart"/>
            <w:r w:rsidR="00FA274C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请简单</w:t>
            </w:r>
            <w:proofErr w:type="gramEnd"/>
            <w:r w:rsidR="00FA274C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介绍一下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公司的</w:t>
            </w:r>
            <w:r w:rsidR="00FA274C"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中期</w:t>
            </w:r>
            <w:r>
              <w:rPr>
                <w:rFonts w:asciiTheme="minorEastAsia" w:eastAsiaTheme="minorEastAsia" w:hAnsiTheme="minorEastAsia" w:hint="eastAsia"/>
                <w:b/>
                <w:bCs/>
                <w:iCs/>
                <w:color w:val="000000"/>
                <w:kern w:val="0"/>
                <w:sz w:val="24"/>
              </w:rPr>
              <w:t>投资规划？</w:t>
            </w:r>
          </w:p>
          <w:p w:rsidR="008E41D2" w:rsidRDefault="008070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答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：公司中期战略规划是：1、立足主业，积极争取资源，扩大规模和综合实力；2、延伸产业链，优化配置资源，实现提质增效；3、提高资源使用效率，加强管控，规范治理，严格把控风险。</w:t>
            </w:r>
          </w:p>
          <w:p w:rsidR="008E41D2" w:rsidRDefault="008070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主要有以下计划：1、整合提升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宁夏萌成项目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、吉尔吉斯项目投产，新增两条生产线项目投产后，水泥熟料产品规模中期增加70%左右。水泥粉磨产品，在丰富品种的同时，提升主导产品规模，水泥产品总产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能规划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目标提升80%左右。</w:t>
            </w:r>
          </w:p>
          <w:p w:rsidR="008E41D2" w:rsidRDefault="0080700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lastRenderedPageBreak/>
              <w:t>2、积极拓展高毛利业务，加快提升骨料产能规模，安徽、浙江各基地骨料项目进一步提升规模，在宁夏等区域投资新建设骨料项目，骨料业务总规模计划达到年产能1000万吨以上。3、依托现有铜陵、宁夏项目，利用现有水泥窑或新项目水泥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窑增加危废处理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约30万吨，力争水泥窑协同处置业务收入逐渐提升增长到占公司营业收入比重30%以上。4、对现有基地周边水运物流码头资源进一步建设布局，整合内部物流和业务资源，进一步打通信息流和资金流，提升整体产业效率，积累核心技术，并逐步独立走向市场，形成新业务板块，以创新出效益，力争新业务形成营业收入占比达到10%以上。</w:t>
            </w:r>
          </w:p>
          <w:p w:rsidR="008E41D2" w:rsidRDefault="0080700A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、请</w:t>
            </w:r>
            <w:r w:rsidR="00FA274C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问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接下来地产和基建需求的趋势</w:t>
            </w:r>
            <w:r w:rsidR="00FA274C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判断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？</w:t>
            </w:r>
          </w:p>
          <w:p w:rsidR="008E41D2" w:rsidRDefault="0080700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答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2019年1-9月份全国水泥产量16.91亿吨，同比增长6.9%，全国固定资产投资增长稳中趋缓，增速与去年同期持平。基建投资增速稳中有升，但增幅较小，基建投资中，铁路运输业和道路运输业投资持续保持较好的增长势头。房地产投资保持快速平稳增长，房地产开发企业房屋施工面积和新开工面积同比较快增长。预计房产需求可能存在小幅度波动，但基建需求将继续增长，水泥需求出现断崖式下降的可能性比较小。近几年水泥市场不再像是过去认为的周期性产品，由供求关系决定，反而是由供给侧决定，水泥市场呈现稳定运行的趋势。</w:t>
            </w:r>
          </w:p>
          <w:p w:rsidR="008E41D2" w:rsidRDefault="0080700A">
            <w:pPr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请问公司在广西投资建设的目的是什么？区域前景是如何判断的？</w:t>
            </w:r>
          </w:p>
          <w:p w:rsidR="008E41D2" w:rsidRDefault="0080700A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答：公司在广西投资水泥项目，主要是</w:t>
            </w:r>
            <w:r w:rsidR="00104447">
              <w:rPr>
                <w:rFonts w:asciiTheme="minorEastAsia" w:eastAsiaTheme="minorEastAsia" w:hAnsiTheme="minorEastAsia" w:hint="eastAsia"/>
                <w:bCs/>
                <w:sz w:val="24"/>
              </w:rPr>
              <w:t>为进一步拓展主业规模，扩大产能优势，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虽然广西水泥市场相较公司主要基地铜陵、怀宁基地所在华东区域较差，但</w:t>
            </w:r>
            <w:r w:rsidR="00104447">
              <w:rPr>
                <w:rFonts w:asciiTheme="minorEastAsia" w:eastAsiaTheme="minorEastAsia" w:hAnsiTheme="minorEastAsia" w:hint="eastAsia"/>
                <w:bCs/>
                <w:sz w:val="24"/>
              </w:rPr>
              <w:t>鉴于公司已经有在产能严重过剩的新疆地区项目盈利的成功经验，公司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将在广西项目</w:t>
            </w:r>
            <w:r w:rsidR="00104447">
              <w:rPr>
                <w:rFonts w:asciiTheme="minorEastAsia" w:eastAsiaTheme="minorEastAsia" w:hAnsiTheme="minorEastAsia" w:hint="eastAsia"/>
                <w:bCs/>
                <w:sz w:val="24"/>
              </w:rPr>
              <w:t>上利用新疆的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成功经验，特别是成本管控经验，提升运营效率，维护健康有序的行业行情，</w:t>
            </w:r>
            <w:r w:rsidR="00104447">
              <w:rPr>
                <w:rFonts w:asciiTheme="minorEastAsia" w:eastAsiaTheme="minorEastAsia" w:hAnsiTheme="minorEastAsia" w:hint="eastAsia"/>
                <w:bCs/>
                <w:sz w:val="24"/>
              </w:rPr>
              <w:t>对公司未来财务状况和经营成果将产生积极影响。</w:t>
            </w:r>
            <w:bookmarkStart w:id="0" w:name="_GoBack"/>
            <w:bookmarkEnd w:id="0"/>
          </w:p>
          <w:p w:rsidR="008E41D2" w:rsidRDefault="0080700A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8、32.5标号水泥全面取消执行情况怎样？对水泥需求拉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动作用明显吗？</w:t>
            </w:r>
          </w:p>
          <w:p w:rsidR="008E41D2" w:rsidRDefault="0080700A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答：32.5标号水泥全面取消执行情况较好，对水泥需求拉动作用不大，取消32.5标号水泥有利于加快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供给侧去产能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。</w:t>
            </w:r>
          </w:p>
          <w:p w:rsidR="008E41D2" w:rsidRDefault="0080700A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9、公司2019年是否会提高分红比例？员工持股计划实施计划是怎样的？</w:t>
            </w:r>
          </w:p>
          <w:p w:rsidR="008E41D2" w:rsidRDefault="0080700A" w:rsidP="00F2639F">
            <w:pPr>
              <w:spacing w:line="360" w:lineRule="auto"/>
              <w:ind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答：公司在保障中期项目资本开支的前提下，会考虑提升分红比例，员工持股计划</w:t>
            </w:r>
            <w:r w:rsidR="00F2639F">
              <w:rPr>
                <w:rFonts w:asciiTheme="minorEastAsia" w:eastAsiaTheme="minorEastAsia" w:hAnsiTheme="minorEastAsia" w:hint="eastAsia"/>
                <w:bCs/>
                <w:sz w:val="24"/>
              </w:rPr>
              <w:t>分五期实施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，每期人员、范围、额度等结合实际情况会有所调整。</w:t>
            </w:r>
            <w:r w:rsidR="00F2639F">
              <w:rPr>
                <w:rFonts w:asciiTheme="minorEastAsia" w:eastAsiaTheme="minorEastAsia" w:hAnsiTheme="minorEastAsia" w:hint="eastAsia"/>
                <w:bCs/>
                <w:sz w:val="24"/>
              </w:rPr>
              <w:t>本次第一期员工持股计划已顺利实施并已锁定。</w:t>
            </w:r>
          </w:p>
        </w:tc>
      </w:tr>
      <w:tr w:rsidR="008E41D2">
        <w:trPr>
          <w:trHeight w:val="69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  <w:p w:rsidR="008E41D2" w:rsidRDefault="008070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48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8E41D2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1D2" w:rsidRDefault="0080700A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201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 w:val="24"/>
              </w:rPr>
              <w:t>年11月8日</w:t>
            </w:r>
          </w:p>
        </w:tc>
      </w:tr>
    </w:tbl>
    <w:p w:rsidR="008E41D2" w:rsidRDefault="0080700A">
      <w:r>
        <w:rPr>
          <w:rFonts w:hint="eastAsia"/>
          <w:kern w:val="0"/>
          <w:sz w:val="18"/>
          <w:szCs w:val="18"/>
        </w:rPr>
        <w:t>注：若想了解更多公司资讯欢迎您关注“上峰水泥”</w:t>
      </w:r>
      <w:proofErr w:type="gramStart"/>
      <w:r>
        <w:rPr>
          <w:rFonts w:hint="eastAsia"/>
          <w:kern w:val="0"/>
          <w:sz w:val="18"/>
          <w:szCs w:val="18"/>
        </w:rPr>
        <w:t>微信公众</w:t>
      </w:r>
      <w:proofErr w:type="gramEnd"/>
      <w:r>
        <w:rPr>
          <w:rFonts w:hint="eastAsia"/>
          <w:kern w:val="0"/>
          <w:sz w:val="18"/>
          <w:szCs w:val="18"/>
        </w:rPr>
        <w:t>平台（</w:t>
      </w:r>
      <w:r>
        <w:rPr>
          <w:rFonts w:hint="eastAsia"/>
          <w:kern w:val="0"/>
          <w:sz w:val="18"/>
          <w:szCs w:val="18"/>
        </w:rPr>
        <w:t>sfsn-000672</w:t>
      </w:r>
      <w:r>
        <w:rPr>
          <w:rFonts w:hint="eastAsia"/>
          <w:kern w:val="0"/>
          <w:sz w:val="18"/>
          <w:szCs w:val="18"/>
        </w:rPr>
        <w:t>）或公司网站（</w:t>
      </w:r>
      <w:r>
        <w:rPr>
          <w:rFonts w:ascii="宋体" w:hAnsi="Calibri" w:cs="宋体" w:hint="eastAsia"/>
          <w:color w:val="660099"/>
          <w:kern w:val="0"/>
          <w:sz w:val="18"/>
          <w:szCs w:val="18"/>
        </w:rPr>
        <w:t>www.sfsn.cn）</w:t>
      </w:r>
      <w:r>
        <w:rPr>
          <w:rFonts w:hint="eastAsia"/>
          <w:kern w:val="0"/>
          <w:sz w:val="18"/>
          <w:szCs w:val="18"/>
        </w:rPr>
        <w:t>。电话：</w:t>
      </w:r>
      <w:r>
        <w:rPr>
          <w:rFonts w:hint="eastAsia"/>
          <w:kern w:val="0"/>
          <w:sz w:val="18"/>
          <w:szCs w:val="18"/>
        </w:rPr>
        <w:t>0571-56030516</w:t>
      </w:r>
      <w:r>
        <w:rPr>
          <w:rFonts w:hint="eastAsia"/>
          <w:kern w:val="0"/>
          <w:sz w:val="18"/>
          <w:szCs w:val="18"/>
        </w:rPr>
        <w:t>、</w:t>
      </w:r>
      <w:r>
        <w:rPr>
          <w:rFonts w:hint="eastAsia"/>
          <w:kern w:val="0"/>
          <w:sz w:val="18"/>
          <w:szCs w:val="18"/>
        </w:rPr>
        <w:t>56030515</w:t>
      </w:r>
      <w:r>
        <w:rPr>
          <w:rFonts w:hint="eastAsia"/>
          <w:kern w:val="0"/>
          <w:sz w:val="18"/>
          <w:szCs w:val="18"/>
        </w:rPr>
        <w:t>，欢迎您与我们互动交流，感谢您的关心与支持。谢谢！</w:t>
      </w:r>
    </w:p>
    <w:p w:rsidR="008E41D2" w:rsidRDefault="008E41D2"/>
    <w:sectPr w:rsidR="008E41D2">
      <w:footerReference w:type="default" r:id="rId10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9A" w:rsidRDefault="007D789A">
      <w:r>
        <w:separator/>
      </w:r>
    </w:p>
  </w:endnote>
  <w:endnote w:type="continuationSeparator" w:id="0">
    <w:p w:rsidR="007D789A" w:rsidRDefault="007D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59170"/>
      <w:docPartObj>
        <w:docPartGallery w:val="AutoText"/>
      </w:docPartObj>
    </w:sdtPr>
    <w:sdtEndPr/>
    <w:sdtContent>
      <w:p w:rsidR="008E41D2" w:rsidRDefault="008070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47" w:rsidRPr="00104447">
          <w:rPr>
            <w:noProof/>
            <w:lang w:val="zh-CN"/>
          </w:rPr>
          <w:t>5</w:t>
        </w:r>
        <w:r>
          <w:fldChar w:fldCharType="end"/>
        </w:r>
      </w:p>
    </w:sdtContent>
  </w:sdt>
  <w:p w:rsidR="008E41D2" w:rsidRDefault="008E41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9A" w:rsidRDefault="007D789A">
      <w:r>
        <w:separator/>
      </w:r>
    </w:p>
  </w:footnote>
  <w:footnote w:type="continuationSeparator" w:id="0">
    <w:p w:rsidR="007D789A" w:rsidRDefault="007D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9A1CDB"/>
    <w:multiLevelType w:val="singleLevel"/>
    <w:tmpl w:val="B69A1CDB"/>
    <w:lvl w:ilvl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D3"/>
    <w:rsid w:val="00005930"/>
    <w:rsid w:val="00022E59"/>
    <w:rsid w:val="00024119"/>
    <w:rsid w:val="000278CD"/>
    <w:rsid w:val="00041F80"/>
    <w:rsid w:val="0004754A"/>
    <w:rsid w:val="00074CB0"/>
    <w:rsid w:val="000A0A97"/>
    <w:rsid w:val="000B42F2"/>
    <w:rsid w:val="000C3B44"/>
    <w:rsid w:val="000E23DD"/>
    <w:rsid w:val="000E52C4"/>
    <w:rsid w:val="000E7027"/>
    <w:rsid w:val="000F6B14"/>
    <w:rsid w:val="00104447"/>
    <w:rsid w:val="0013047D"/>
    <w:rsid w:val="001407F9"/>
    <w:rsid w:val="00142964"/>
    <w:rsid w:val="00146673"/>
    <w:rsid w:val="0016082E"/>
    <w:rsid w:val="0018024D"/>
    <w:rsid w:val="00193A65"/>
    <w:rsid w:val="001968A2"/>
    <w:rsid w:val="001B6F3B"/>
    <w:rsid w:val="001D1992"/>
    <w:rsid w:val="001E0F51"/>
    <w:rsid w:val="001E6C48"/>
    <w:rsid w:val="001F25CC"/>
    <w:rsid w:val="0021131A"/>
    <w:rsid w:val="00223CAC"/>
    <w:rsid w:val="002411E8"/>
    <w:rsid w:val="002476B0"/>
    <w:rsid w:val="00257718"/>
    <w:rsid w:val="00260366"/>
    <w:rsid w:val="002655E2"/>
    <w:rsid w:val="00265D04"/>
    <w:rsid w:val="00274817"/>
    <w:rsid w:val="002764AA"/>
    <w:rsid w:val="00292237"/>
    <w:rsid w:val="0029598C"/>
    <w:rsid w:val="002A197D"/>
    <w:rsid w:val="002A55EB"/>
    <w:rsid w:val="002A5E9A"/>
    <w:rsid w:val="002C057E"/>
    <w:rsid w:val="002C08D4"/>
    <w:rsid w:val="003039F0"/>
    <w:rsid w:val="00306006"/>
    <w:rsid w:val="00324620"/>
    <w:rsid w:val="003313D2"/>
    <w:rsid w:val="00332EB6"/>
    <w:rsid w:val="003675C2"/>
    <w:rsid w:val="0037103A"/>
    <w:rsid w:val="00386415"/>
    <w:rsid w:val="00393909"/>
    <w:rsid w:val="003B5D67"/>
    <w:rsid w:val="003C6CAB"/>
    <w:rsid w:val="003D3747"/>
    <w:rsid w:val="003D5290"/>
    <w:rsid w:val="003D740D"/>
    <w:rsid w:val="003E0386"/>
    <w:rsid w:val="003F4A6F"/>
    <w:rsid w:val="004142C7"/>
    <w:rsid w:val="00433394"/>
    <w:rsid w:val="004512BE"/>
    <w:rsid w:val="0045385A"/>
    <w:rsid w:val="00456A34"/>
    <w:rsid w:val="00463E8A"/>
    <w:rsid w:val="00484407"/>
    <w:rsid w:val="00494B70"/>
    <w:rsid w:val="004A15D8"/>
    <w:rsid w:val="004A6ECB"/>
    <w:rsid w:val="004B691B"/>
    <w:rsid w:val="004C18C2"/>
    <w:rsid w:val="004E12AC"/>
    <w:rsid w:val="004F4771"/>
    <w:rsid w:val="00503186"/>
    <w:rsid w:val="00503AF8"/>
    <w:rsid w:val="00524259"/>
    <w:rsid w:val="00524810"/>
    <w:rsid w:val="005259D3"/>
    <w:rsid w:val="00530C0E"/>
    <w:rsid w:val="00540759"/>
    <w:rsid w:val="00551FE8"/>
    <w:rsid w:val="00561FB8"/>
    <w:rsid w:val="00586FF7"/>
    <w:rsid w:val="00591252"/>
    <w:rsid w:val="005C6E97"/>
    <w:rsid w:val="005F26ED"/>
    <w:rsid w:val="005F3959"/>
    <w:rsid w:val="005F4638"/>
    <w:rsid w:val="005F7C73"/>
    <w:rsid w:val="00622BE0"/>
    <w:rsid w:val="00632C07"/>
    <w:rsid w:val="006421CB"/>
    <w:rsid w:val="00652CF4"/>
    <w:rsid w:val="00653C94"/>
    <w:rsid w:val="0065679E"/>
    <w:rsid w:val="00673E6B"/>
    <w:rsid w:val="00685AFD"/>
    <w:rsid w:val="006945E3"/>
    <w:rsid w:val="006A3820"/>
    <w:rsid w:val="006B5B7C"/>
    <w:rsid w:val="006B6DCB"/>
    <w:rsid w:val="006C4076"/>
    <w:rsid w:val="006D2E42"/>
    <w:rsid w:val="006D454D"/>
    <w:rsid w:val="006F0F48"/>
    <w:rsid w:val="006F27BF"/>
    <w:rsid w:val="006F312C"/>
    <w:rsid w:val="0070542A"/>
    <w:rsid w:val="0071568A"/>
    <w:rsid w:val="0072122F"/>
    <w:rsid w:val="00727130"/>
    <w:rsid w:val="007364CB"/>
    <w:rsid w:val="0074420C"/>
    <w:rsid w:val="00747ECC"/>
    <w:rsid w:val="00754799"/>
    <w:rsid w:val="007702AE"/>
    <w:rsid w:val="00777CE6"/>
    <w:rsid w:val="00784FEF"/>
    <w:rsid w:val="007A24DB"/>
    <w:rsid w:val="007A57D3"/>
    <w:rsid w:val="007C1FEA"/>
    <w:rsid w:val="007C5288"/>
    <w:rsid w:val="007C6CBC"/>
    <w:rsid w:val="007D789A"/>
    <w:rsid w:val="007E4E0B"/>
    <w:rsid w:val="007E7994"/>
    <w:rsid w:val="0080700A"/>
    <w:rsid w:val="0082426C"/>
    <w:rsid w:val="00835E65"/>
    <w:rsid w:val="0084113D"/>
    <w:rsid w:val="00847E6A"/>
    <w:rsid w:val="0085005F"/>
    <w:rsid w:val="0085180B"/>
    <w:rsid w:val="00866ACF"/>
    <w:rsid w:val="00866C3B"/>
    <w:rsid w:val="00880436"/>
    <w:rsid w:val="008866B1"/>
    <w:rsid w:val="008C7C61"/>
    <w:rsid w:val="008E41D2"/>
    <w:rsid w:val="008E7059"/>
    <w:rsid w:val="0090203F"/>
    <w:rsid w:val="009065DB"/>
    <w:rsid w:val="00922A23"/>
    <w:rsid w:val="00940CDB"/>
    <w:rsid w:val="00943497"/>
    <w:rsid w:val="00946AA5"/>
    <w:rsid w:val="00953F19"/>
    <w:rsid w:val="009811E5"/>
    <w:rsid w:val="00985432"/>
    <w:rsid w:val="00986037"/>
    <w:rsid w:val="009D2E25"/>
    <w:rsid w:val="00A010C1"/>
    <w:rsid w:val="00A17463"/>
    <w:rsid w:val="00A21456"/>
    <w:rsid w:val="00A24F7D"/>
    <w:rsid w:val="00A536D9"/>
    <w:rsid w:val="00A55FD7"/>
    <w:rsid w:val="00A56B94"/>
    <w:rsid w:val="00A67B05"/>
    <w:rsid w:val="00A748D7"/>
    <w:rsid w:val="00A86430"/>
    <w:rsid w:val="00A90CE7"/>
    <w:rsid w:val="00A924BD"/>
    <w:rsid w:val="00AB07A6"/>
    <w:rsid w:val="00AB7771"/>
    <w:rsid w:val="00AC266A"/>
    <w:rsid w:val="00AC280C"/>
    <w:rsid w:val="00AC5088"/>
    <w:rsid w:val="00AC7034"/>
    <w:rsid w:val="00AE3819"/>
    <w:rsid w:val="00B122AF"/>
    <w:rsid w:val="00B15709"/>
    <w:rsid w:val="00B22B20"/>
    <w:rsid w:val="00B34DAA"/>
    <w:rsid w:val="00B40620"/>
    <w:rsid w:val="00B46595"/>
    <w:rsid w:val="00B64811"/>
    <w:rsid w:val="00B7183B"/>
    <w:rsid w:val="00B719C9"/>
    <w:rsid w:val="00B75D91"/>
    <w:rsid w:val="00B76D2E"/>
    <w:rsid w:val="00B8781E"/>
    <w:rsid w:val="00BA2086"/>
    <w:rsid w:val="00BA6A21"/>
    <w:rsid w:val="00BB1700"/>
    <w:rsid w:val="00BE59E3"/>
    <w:rsid w:val="00BF59B2"/>
    <w:rsid w:val="00C04CF7"/>
    <w:rsid w:val="00C063ED"/>
    <w:rsid w:val="00C06BAB"/>
    <w:rsid w:val="00C23506"/>
    <w:rsid w:val="00C24EA3"/>
    <w:rsid w:val="00C32D96"/>
    <w:rsid w:val="00C32DFF"/>
    <w:rsid w:val="00C34C4B"/>
    <w:rsid w:val="00C42B42"/>
    <w:rsid w:val="00C7732A"/>
    <w:rsid w:val="00CB01DB"/>
    <w:rsid w:val="00CB6D2B"/>
    <w:rsid w:val="00CC156E"/>
    <w:rsid w:val="00CC57D3"/>
    <w:rsid w:val="00CC6A41"/>
    <w:rsid w:val="00CD0D07"/>
    <w:rsid w:val="00CD224D"/>
    <w:rsid w:val="00CF43E3"/>
    <w:rsid w:val="00D004FC"/>
    <w:rsid w:val="00D059A1"/>
    <w:rsid w:val="00D307A1"/>
    <w:rsid w:val="00D6063F"/>
    <w:rsid w:val="00D761AC"/>
    <w:rsid w:val="00D83E12"/>
    <w:rsid w:val="00D942B3"/>
    <w:rsid w:val="00D975D5"/>
    <w:rsid w:val="00DA60D3"/>
    <w:rsid w:val="00DB1014"/>
    <w:rsid w:val="00DB699C"/>
    <w:rsid w:val="00DC32BB"/>
    <w:rsid w:val="00DF2BC5"/>
    <w:rsid w:val="00DF5136"/>
    <w:rsid w:val="00E00117"/>
    <w:rsid w:val="00E11730"/>
    <w:rsid w:val="00E145D2"/>
    <w:rsid w:val="00E255FD"/>
    <w:rsid w:val="00E27007"/>
    <w:rsid w:val="00E32AC1"/>
    <w:rsid w:val="00E40160"/>
    <w:rsid w:val="00E6052F"/>
    <w:rsid w:val="00E64DB3"/>
    <w:rsid w:val="00E66744"/>
    <w:rsid w:val="00E76B24"/>
    <w:rsid w:val="00E77D0D"/>
    <w:rsid w:val="00EA42E4"/>
    <w:rsid w:val="00EA5931"/>
    <w:rsid w:val="00EB73F2"/>
    <w:rsid w:val="00EC183E"/>
    <w:rsid w:val="00EC7796"/>
    <w:rsid w:val="00EC7B10"/>
    <w:rsid w:val="00ED660E"/>
    <w:rsid w:val="00EE56C9"/>
    <w:rsid w:val="00F02C9B"/>
    <w:rsid w:val="00F070E2"/>
    <w:rsid w:val="00F20AB5"/>
    <w:rsid w:val="00F223B4"/>
    <w:rsid w:val="00F25512"/>
    <w:rsid w:val="00F2639F"/>
    <w:rsid w:val="00F324B3"/>
    <w:rsid w:val="00F50C94"/>
    <w:rsid w:val="00F53E87"/>
    <w:rsid w:val="00F61671"/>
    <w:rsid w:val="00F739B1"/>
    <w:rsid w:val="00F944C3"/>
    <w:rsid w:val="00F96AB3"/>
    <w:rsid w:val="00FA274C"/>
    <w:rsid w:val="00FA476B"/>
    <w:rsid w:val="00FB758E"/>
    <w:rsid w:val="00FD6D96"/>
    <w:rsid w:val="00FE428F"/>
    <w:rsid w:val="00FF4B7F"/>
    <w:rsid w:val="00FF666C"/>
    <w:rsid w:val="2AD756D4"/>
    <w:rsid w:val="65CE0B43"/>
    <w:rsid w:val="7770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EA9BD-4199-457D-87AD-E5A2F6D1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Pr>
      <w:lang w:val="zh-TW" w:eastAsia="zh-TW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0836DF-7CCC-485A-A122-396C69C3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464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余倩</dc:creator>
  <cp:lastModifiedBy>YLMF</cp:lastModifiedBy>
  <cp:revision>20</cp:revision>
  <dcterms:created xsi:type="dcterms:W3CDTF">2019-09-12T07:32:00Z</dcterms:created>
  <dcterms:modified xsi:type="dcterms:W3CDTF">2019-11-12T05:28:00Z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