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rFonts w:ascii="宋体" w:hAnsi="宋体"/>
          <w:bCs/>
          <w:iCs/>
          <w:sz w:val="24"/>
        </w:rPr>
      </w:pPr>
      <w:r>
        <w:rPr>
          <w:rFonts w:hint="eastAsia" w:ascii="宋体" w:hAnsi="宋体"/>
          <w:bCs/>
          <w:iCs/>
          <w:sz w:val="24"/>
        </w:rPr>
        <w:t>证券代码：</w:t>
      </w:r>
      <w:r>
        <w:rPr>
          <w:rFonts w:hint="eastAsia" w:ascii="宋体" w:hAnsi="宋体"/>
          <w:bCs/>
          <w:iCs/>
          <w:sz w:val="24"/>
          <w:lang w:val="en-US" w:eastAsia="zh-CN"/>
        </w:rPr>
        <w:t>002218</w:t>
      </w:r>
      <w:r>
        <w:rPr>
          <w:rFonts w:hint="eastAsia" w:ascii="宋体" w:hAnsi="宋体"/>
          <w:bCs/>
          <w:iCs/>
          <w:sz w:val="24"/>
        </w:rPr>
        <w:t xml:space="preserve">           </w:t>
      </w:r>
      <w:r>
        <w:rPr>
          <w:rFonts w:hint="eastAsia" w:ascii="宋体" w:hAnsi="宋体"/>
          <w:bCs/>
          <w:iCs/>
          <w:sz w:val="24"/>
          <w:lang w:val="en-US" w:eastAsia="zh-CN"/>
        </w:rPr>
        <w:t xml:space="preserve">      </w:t>
      </w:r>
      <w:r>
        <w:rPr>
          <w:rFonts w:hint="eastAsia" w:ascii="宋体" w:hAnsi="宋体"/>
          <w:bCs/>
          <w:iCs/>
          <w:sz w:val="24"/>
        </w:rPr>
        <w:t xml:space="preserve">                  证券简称：</w:t>
      </w:r>
      <w:r>
        <w:rPr>
          <w:rFonts w:hint="eastAsia" w:ascii="宋体" w:hAnsi="宋体"/>
          <w:bCs/>
          <w:iCs/>
          <w:sz w:val="24"/>
          <w:lang w:val="en-US" w:eastAsia="zh-CN"/>
        </w:rPr>
        <w:t>拓日新能</w:t>
      </w:r>
    </w:p>
    <w:p>
      <w:pPr>
        <w:spacing w:before="156" w:beforeLines="50" w:after="156" w:afterLines="50" w:line="400" w:lineRule="exact"/>
        <w:jc w:val="center"/>
        <w:rPr>
          <w:rFonts w:ascii="宋体" w:hAnsi="宋体"/>
          <w:b/>
          <w:bCs/>
          <w:iCs/>
          <w:sz w:val="24"/>
          <w:szCs w:val="24"/>
        </w:rPr>
      </w:pPr>
      <w:r>
        <w:rPr>
          <w:rFonts w:hint="eastAsia" w:ascii="宋体" w:hAnsi="宋体"/>
          <w:b/>
          <w:bCs/>
          <w:iCs/>
          <w:sz w:val="24"/>
          <w:szCs w:val="24"/>
          <w:lang w:val="en-US" w:eastAsia="zh-CN"/>
        </w:rPr>
        <w:t>深圳市拓日新能源科技</w:t>
      </w:r>
      <w:r>
        <w:rPr>
          <w:rFonts w:hint="eastAsia" w:ascii="宋体" w:hAnsi="宋体"/>
          <w:b/>
          <w:bCs/>
          <w:iCs/>
          <w:sz w:val="24"/>
          <w:szCs w:val="24"/>
        </w:rPr>
        <w:t>股份有限公司投资者关系活动记录表</w:t>
      </w:r>
    </w:p>
    <w:p>
      <w:pPr>
        <w:spacing w:line="400" w:lineRule="exact"/>
        <w:rPr>
          <w:rFonts w:hint="default" w:ascii="宋体" w:hAnsi="宋体" w:eastAsia="宋体"/>
          <w:bCs/>
          <w:iCs/>
          <w:sz w:val="24"/>
          <w:szCs w:val="24"/>
          <w:lang w:val="en-US" w:eastAsia="zh-CN"/>
        </w:rPr>
      </w:pPr>
      <w:r>
        <w:rPr>
          <w:rFonts w:hint="eastAsia" w:ascii="宋体" w:hAnsi="宋体"/>
          <w:bCs/>
          <w:iCs/>
          <w:sz w:val="24"/>
          <w:szCs w:val="24"/>
        </w:rPr>
        <w:t xml:space="preserve">                                                      编号：</w:t>
      </w:r>
      <w:r>
        <w:rPr>
          <w:rFonts w:hint="eastAsia" w:ascii="宋体" w:hAnsi="宋体"/>
          <w:bCs/>
          <w:iCs/>
          <w:sz w:val="24"/>
          <w:szCs w:val="24"/>
          <w:lang w:val="en-US" w:eastAsia="zh-CN"/>
        </w:rPr>
        <w:t>20191112</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b/>
                <w:bCs/>
                <w:iCs/>
                <w:sz w:val="24"/>
                <w:szCs w:val="24"/>
              </w:rPr>
            </w:pPr>
            <w:r>
              <w:rPr>
                <w:rFonts w:hint="eastAsia" w:ascii="宋体" w:hAnsi="宋体"/>
                <w:b/>
                <w:bCs/>
                <w:iCs/>
                <w:sz w:val="24"/>
                <w:szCs w:val="24"/>
              </w:rPr>
              <w:t>投资者关系活动类别</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b/>
                <w:bCs/>
                <w:iCs/>
                <w:sz w:val="24"/>
                <w:szCs w:val="24"/>
              </w:rPr>
            </w:pPr>
          </w:p>
        </w:tc>
        <w:tc>
          <w:tcPr>
            <w:tcW w:w="6614" w:type="dxa"/>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bCs/>
                <w:iCs/>
                <w:sz w:val="24"/>
                <w:szCs w:val="24"/>
              </w:rPr>
            </w:pPr>
            <w:r>
              <w:rPr>
                <w:rFonts w:hint="eastAsia" w:ascii="宋体" w:hAnsi="宋体"/>
                <w:bCs/>
                <w:iCs/>
                <w:sz w:val="24"/>
                <w:szCs w:val="24"/>
              </w:rPr>
              <w:t>□</w:t>
            </w:r>
            <w:r>
              <w:rPr>
                <w:rFonts w:hint="eastAsia" w:ascii="宋体" w:hAnsi="宋体"/>
                <w:sz w:val="24"/>
                <w:szCs w:val="24"/>
              </w:rPr>
              <w:t xml:space="preserve">特定对象调研        </w:t>
            </w:r>
            <w:r>
              <w:rPr>
                <w:rFonts w:hint="eastAsia" w:ascii="宋体" w:hAnsi="宋体"/>
                <w:bCs/>
                <w:iCs/>
                <w:sz w:val="24"/>
                <w:szCs w:val="24"/>
              </w:rPr>
              <w:t>□</w:t>
            </w:r>
            <w:r>
              <w:rPr>
                <w:rFonts w:hint="eastAsia" w:ascii="宋体" w:hAnsi="宋体"/>
                <w:sz w:val="24"/>
                <w:szCs w:val="24"/>
              </w:rPr>
              <w:t>分析师会议</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bCs/>
                <w:iCs/>
                <w:sz w:val="24"/>
                <w:szCs w:val="24"/>
              </w:rPr>
            </w:pPr>
            <w:r>
              <w:rPr>
                <w:rFonts w:hint="eastAsia" w:ascii="宋体" w:hAnsi="宋体"/>
                <w:bCs/>
                <w:iCs/>
                <w:sz w:val="24"/>
                <w:szCs w:val="24"/>
              </w:rPr>
              <w:t>□</w:t>
            </w:r>
            <w:r>
              <w:rPr>
                <w:rFonts w:hint="eastAsia" w:ascii="宋体" w:hAnsi="宋体"/>
                <w:sz w:val="24"/>
                <w:szCs w:val="24"/>
              </w:rPr>
              <w:t xml:space="preserve">媒体采访            </w:t>
            </w:r>
            <w:r>
              <w:rPr>
                <w:rFonts w:hint="eastAsia" w:ascii="宋体" w:hAnsi="宋体"/>
                <w:bCs/>
                <w:iCs/>
                <w:sz w:val="24"/>
                <w:szCs w:val="24"/>
              </w:rPr>
              <w:t>□</w:t>
            </w:r>
            <w:r>
              <w:rPr>
                <w:rFonts w:hint="eastAsia" w:ascii="宋体" w:hAnsi="宋体"/>
                <w:sz w:val="24"/>
                <w:szCs w:val="24"/>
              </w:rPr>
              <w:t>业绩说明会</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bCs/>
                <w:iCs/>
                <w:sz w:val="24"/>
                <w:szCs w:val="24"/>
              </w:rPr>
            </w:pPr>
            <w:r>
              <w:rPr>
                <w:rFonts w:hint="eastAsia" w:ascii="宋体" w:hAnsi="宋体"/>
                <w:bCs/>
                <w:iCs/>
                <w:sz w:val="24"/>
                <w:szCs w:val="24"/>
              </w:rPr>
              <w:t>□</w:t>
            </w:r>
            <w:r>
              <w:rPr>
                <w:rFonts w:hint="eastAsia" w:ascii="宋体" w:hAnsi="宋体"/>
                <w:sz w:val="24"/>
                <w:szCs w:val="24"/>
              </w:rPr>
              <w:t xml:space="preserve">新闻发布会          </w:t>
            </w:r>
            <w:r>
              <w:rPr>
                <w:rFonts w:hint="eastAsia" w:ascii="宋体" w:hAnsi="宋体"/>
                <w:bCs/>
                <w:iCs/>
                <w:sz w:val="24"/>
                <w:szCs w:val="24"/>
                <w:lang w:eastAsia="zh-CN"/>
              </w:rPr>
              <w:t>☑</w:t>
            </w:r>
            <w:r>
              <w:rPr>
                <w:rFonts w:hint="eastAsia" w:ascii="宋体" w:hAnsi="宋体"/>
                <w:sz w:val="24"/>
                <w:szCs w:val="24"/>
              </w:rPr>
              <w:t>路演活动</w:t>
            </w:r>
          </w:p>
          <w:p>
            <w:pPr>
              <w:keepNext w:val="0"/>
              <w:keepLines w:val="0"/>
              <w:pageBreakBefore w:val="0"/>
              <w:tabs>
                <w:tab w:val="left" w:pos="3045"/>
                <w:tab w:val="center" w:pos="3199"/>
              </w:tabs>
              <w:kinsoku/>
              <w:wordWrap/>
              <w:overflowPunct/>
              <w:topLinePunct w:val="0"/>
              <w:autoSpaceDE/>
              <w:autoSpaceDN/>
              <w:bidi w:val="0"/>
              <w:adjustRightInd/>
              <w:snapToGrid/>
              <w:spacing w:line="440" w:lineRule="exact"/>
              <w:textAlignment w:val="auto"/>
              <w:rPr>
                <w:rFonts w:ascii="宋体" w:hAnsi="宋体"/>
                <w:bCs/>
                <w:iCs/>
                <w:sz w:val="24"/>
                <w:szCs w:val="24"/>
              </w:rPr>
            </w:pPr>
            <w:r>
              <w:rPr>
                <w:rFonts w:hint="eastAsia" w:ascii="宋体" w:hAnsi="宋体"/>
                <w:bCs/>
                <w:iCs/>
                <w:sz w:val="24"/>
                <w:szCs w:val="24"/>
              </w:rPr>
              <w:t>□</w:t>
            </w:r>
            <w:r>
              <w:rPr>
                <w:rFonts w:hint="eastAsia" w:ascii="宋体" w:hAnsi="宋体"/>
                <w:sz w:val="24"/>
                <w:szCs w:val="24"/>
              </w:rPr>
              <w:t>现场参观</w:t>
            </w:r>
            <w:r>
              <w:rPr>
                <w:rFonts w:ascii="宋体" w:hAnsi="宋体"/>
                <w:bCs/>
                <w:iCs/>
                <w:sz w:val="24"/>
                <w:szCs w:val="24"/>
              </w:rPr>
              <w:tab/>
            </w:r>
          </w:p>
          <w:p>
            <w:pPr>
              <w:keepNext w:val="0"/>
              <w:keepLines w:val="0"/>
              <w:pageBreakBefore w:val="0"/>
              <w:tabs>
                <w:tab w:val="center" w:pos="3199"/>
              </w:tabs>
              <w:kinsoku/>
              <w:wordWrap/>
              <w:overflowPunct/>
              <w:topLinePunct w:val="0"/>
              <w:autoSpaceDE/>
              <w:autoSpaceDN/>
              <w:bidi w:val="0"/>
              <w:adjustRightInd/>
              <w:snapToGrid/>
              <w:spacing w:line="440" w:lineRule="exact"/>
              <w:textAlignment w:val="auto"/>
              <w:rPr>
                <w:rFonts w:ascii="宋体" w:hAnsi="宋体"/>
                <w:bCs/>
                <w:iCs/>
                <w:sz w:val="24"/>
                <w:szCs w:val="24"/>
              </w:rPr>
            </w:pPr>
            <w:r>
              <w:rPr>
                <w:rFonts w:hint="eastAsia" w:ascii="宋体" w:hAnsi="宋体"/>
                <w:bCs/>
                <w:iCs/>
                <w:sz w:val="24"/>
                <w:szCs w:val="24"/>
              </w:rPr>
              <w:t>□</w:t>
            </w:r>
            <w:r>
              <w:rPr>
                <w:rFonts w:hint="eastAsia" w:ascii="宋体" w:hAnsi="宋体"/>
                <w:sz w:val="24"/>
                <w:szCs w:val="24"/>
              </w:rPr>
              <w:t>其他 （</w:t>
            </w:r>
            <w:r>
              <w:rPr>
                <w:rFonts w:hint="eastAsia" w:ascii="宋体" w:hAnsi="宋体"/>
                <w:sz w:val="24"/>
                <w:szCs w:val="24"/>
                <w:u w:val="single"/>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b/>
                <w:bCs/>
                <w:iCs/>
                <w:sz w:val="24"/>
                <w:szCs w:val="24"/>
              </w:rPr>
            </w:pPr>
            <w:r>
              <w:rPr>
                <w:rFonts w:hint="eastAsia" w:ascii="宋体" w:hAnsi="宋体"/>
                <w:b/>
                <w:bCs/>
                <w:iCs/>
                <w:sz w:val="24"/>
                <w:szCs w:val="24"/>
              </w:rPr>
              <w:t>参与单位名称及人员姓名</w:t>
            </w:r>
          </w:p>
        </w:tc>
        <w:tc>
          <w:tcPr>
            <w:tcW w:w="6614" w:type="dxa"/>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bCs/>
                <w:iCs/>
                <w:sz w:val="24"/>
                <w:szCs w:val="24"/>
                <w:highlight w:val="none"/>
                <w:lang w:val="en-US" w:eastAsia="zh-CN"/>
              </w:rPr>
            </w:pPr>
            <w:r>
              <w:rPr>
                <w:rFonts w:hint="eastAsia" w:ascii="宋体" w:hAnsi="宋体"/>
                <w:bCs/>
                <w:iCs/>
                <w:sz w:val="24"/>
                <w:szCs w:val="24"/>
                <w:highlight w:val="none"/>
                <w:lang w:val="en-US" w:eastAsia="zh-CN"/>
              </w:rPr>
              <w:t>华创证券  电力设备新能源行业首席分析师胡毅先生、</w:t>
            </w:r>
          </w:p>
          <w:p>
            <w:pPr>
              <w:keepNext w:val="0"/>
              <w:keepLines w:val="0"/>
              <w:pageBreakBefore w:val="0"/>
              <w:kinsoku/>
              <w:wordWrap/>
              <w:overflowPunct/>
              <w:topLinePunct w:val="0"/>
              <w:autoSpaceDE/>
              <w:autoSpaceDN/>
              <w:bidi w:val="0"/>
              <w:adjustRightInd/>
              <w:snapToGrid/>
              <w:spacing w:line="440" w:lineRule="exact"/>
              <w:ind w:firstLine="1200" w:firstLineChars="500"/>
              <w:textAlignment w:val="auto"/>
              <w:rPr>
                <w:rFonts w:hint="eastAsia" w:ascii="宋体" w:hAnsi="宋体"/>
                <w:bCs/>
                <w:iCs/>
                <w:sz w:val="24"/>
                <w:szCs w:val="24"/>
                <w:highlight w:val="none"/>
                <w:lang w:val="en-US" w:eastAsia="zh-CN"/>
              </w:rPr>
            </w:pPr>
            <w:r>
              <w:rPr>
                <w:rFonts w:hint="eastAsia" w:ascii="宋体" w:hAnsi="宋体"/>
                <w:bCs/>
                <w:iCs/>
                <w:sz w:val="24"/>
                <w:szCs w:val="24"/>
                <w:highlight w:val="none"/>
                <w:lang w:val="en-US" w:eastAsia="zh-CN"/>
              </w:rPr>
              <w:t>电力设备新能源行业研究员杨达伟先生、</w:t>
            </w:r>
          </w:p>
          <w:p>
            <w:pPr>
              <w:keepNext w:val="0"/>
              <w:keepLines w:val="0"/>
              <w:pageBreakBefore w:val="0"/>
              <w:kinsoku/>
              <w:wordWrap/>
              <w:overflowPunct/>
              <w:topLinePunct w:val="0"/>
              <w:autoSpaceDE/>
              <w:autoSpaceDN/>
              <w:bidi w:val="0"/>
              <w:adjustRightInd/>
              <w:snapToGrid/>
              <w:spacing w:line="440" w:lineRule="exact"/>
              <w:ind w:firstLine="1200" w:firstLineChars="500"/>
              <w:textAlignment w:val="auto"/>
              <w:rPr>
                <w:rFonts w:hint="default" w:ascii="宋体" w:hAnsi="宋体"/>
                <w:bCs/>
                <w:iCs/>
                <w:sz w:val="24"/>
                <w:szCs w:val="24"/>
                <w:highlight w:val="none"/>
                <w:lang w:val="en-US" w:eastAsia="zh-CN"/>
              </w:rPr>
            </w:pPr>
            <w:r>
              <w:rPr>
                <w:rFonts w:hint="eastAsia" w:ascii="宋体" w:hAnsi="宋体"/>
                <w:bCs/>
                <w:iCs/>
                <w:sz w:val="24"/>
                <w:szCs w:val="24"/>
                <w:highlight w:val="none"/>
                <w:lang w:val="en-US" w:eastAsia="zh-CN"/>
              </w:rPr>
              <w:t>深圳沃伯格投资控股有限公司郑奇国先生</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b/>
                <w:bCs/>
                <w:iCs/>
                <w:sz w:val="24"/>
                <w:szCs w:val="24"/>
              </w:rPr>
            </w:pPr>
            <w:r>
              <w:rPr>
                <w:rFonts w:hint="eastAsia" w:ascii="宋体" w:hAnsi="宋体"/>
                <w:b/>
                <w:bCs/>
                <w:iCs/>
                <w:sz w:val="24"/>
                <w:szCs w:val="24"/>
              </w:rPr>
              <w:t>时间</w:t>
            </w:r>
          </w:p>
        </w:tc>
        <w:tc>
          <w:tcPr>
            <w:tcW w:w="6614" w:type="dxa"/>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default" w:ascii="宋体" w:hAnsi="宋体" w:eastAsia="宋体"/>
                <w:bCs/>
                <w:iCs/>
                <w:sz w:val="24"/>
                <w:szCs w:val="24"/>
                <w:lang w:val="en-US" w:eastAsia="zh-CN"/>
              </w:rPr>
            </w:pPr>
            <w:r>
              <w:rPr>
                <w:rFonts w:hint="eastAsia" w:ascii="宋体" w:hAnsi="宋体"/>
                <w:bCs/>
                <w:iCs/>
                <w:sz w:val="24"/>
                <w:szCs w:val="24"/>
                <w:lang w:val="en-US" w:eastAsia="zh-CN"/>
              </w:rPr>
              <w:t>2019年11月12日 13：30-16：00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b/>
                <w:bCs/>
                <w:iCs/>
                <w:sz w:val="24"/>
                <w:szCs w:val="24"/>
              </w:rPr>
            </w:pPr>
            <w:r>
              <w:rPr>
                <w:rFonts w:hint="eastAsia" w:ascii="宋体" w:hAnsi="宋体"/>
                <w:b/>
                <w:bCs/>
                <w:iCs/>
                <w:sz w:val="24"/>
                <w:szCs w:val="24"/>
              </w:rPr>
              <w:t>地点</w:t>
            </w:r>
          </w:p>
        </w:tc>
        <w:tc>
          <w:tcPr>
            <w:tcW w:w="6614" w:type="dxa"/>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default" w:ascii="宋体" w:hAnsi="宋体" w:eastAsia="宋体"/>
                <w:bCs/>
                <w:iCs/>
                <w:sz w:val="24"/>
                <w:szCs w:val="24"/>
                <w:lang w:val="en-US" w:eastAsia="zh-CN"/>
              </w:rPr>
            </w:pPr>
            <w:r>
              <w:rPr>
                <w:rFonts w:hint="eastAsia" w:ascii="宋体" w:hAnsi="宋体"/>
                <w:bCs/>
                <w:iCs/>
                <w:sz w:val="24"/>
                <w:szCs w:val="24"/>
                <w:lang w:val="en-US" w:eastAsia="zh-CN"/>
              </w:rPr>
              <w:t>深圳市东海朗庭酒店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b/>
                <w:bCs/>
                <w:iCs/>
                <w:sz w:val="24"/>
                <w:szCs w:val="24"/>
              </w:rPr>
            </w:pPr>
            <w:r>
              <w:rPr>
                <w:rFonts w:hint="eastAsia" w:ascii="宋体" w:hAnsi="宋体"/>
                <w:b/>
                <w:bCs/>
                <w:iCs/>
                <w:sz w:val="24"/>
                <w:szCs w:val="24"/>
              </w:rPr>
              <w:t>上市公司接待人员姓名</w:t>
            </w:r>
          </w:p>
        </w:tc>
        <w:tc>
          <w:tcPr>
            <w:tcW w:w="6614" w:type="dxa"/>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default" w:ascii="宋体" w:hAnsi="宋体" w:eastAsia="宋体"/>
                <w:bCs/>
                <w:iCs/>
                <w:sz w:val="24"/>
                <w:szCs w:val="24"/>
                <w:lang w:val="en-US" w:eastAsia="zh-CN"/>
              </w:rPr>
            </w:pPr>
            <w:r>
              <w:rPr>
                <w:rFonts w:hint="eastAsia" w:ascii="宋体" w:hAnsi="宋体"/>
                <w:bCs/>
                <w:iCs/>
                <w:sz w:val="24"/>
                <w:szCs w:val="24"/>
                <w:lang w:val="en-US" w:eastAsia="zh-CN"/>
              </w:rPr>
              <w:t>总经理兼董秘：杨国强；证券事务代表：龚艳平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trPr>
        <w:tc>
          <w:tcPr>
            <w:tcW w:w="1908" w:type="dxa"/>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b/>
                <w:bCs/>
                <w:iCs/>
                <w:sz w:val="24"/>
                <w:szCs w:val="24"/>
              </w:rPr>
            </w:pPr>
            <w:r>
              <w:rPr>
                <w:rFonts w:hint="eastAsia" w:ascii="宋体" w:hAnsi="宋体"/>
                <w:b/>
                <w:bCs/>
                <w:iCs/>
                <w:sz w:val="24"/>
                <w:szCs w:val="24"/>
              </w:rPr>
              <w:t>投资者关系活动主要内容介绍</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b/>
                <w:bCs/>
                <w:iCs/>
                <w:sz w:val="24"/>
                <w:szCs w:val="24"/>
              </w:rPr>
            </w:pPr>
          </w:p>
        </w:tc>
        <w:tc>
          <w:tcPr>
            <w:tcW w:w="6614" w:type="dxa"/>
            <w:shd w:val="clear" w:color="auto" w:fill="auto"/>
            <w:vAlign w:val="center"/>
          </w:tcPr>
          <w:p>
            <w:pPr>
              <w:keepNext w:val="0"/>
              <w:keepLines w:val="0"/>
              <w:pageBreakBefore w:val="0"/>
              <w:numPr>
                <w:ilvl w:val="0"/>
                <w:numId w:val="1"/>
              </w:numPr>
              <w:kinsoku/>
              <w:wordWrap/>
              <w:overflowPunct/>
              <w:topLinePunct w:val="0"/>
              <w:autoSpaceDE/>
              <w:autoSpaceDN/>
              <w:bidi w:val="0"/>
              <w:adjustRightInd/>
              <w:snapToGrid/>
              <w:spacing w:line="440" w:lineRule="exact"/>
              <w:textAlignment w:val="auto"/>
              <w:rPr>
                <w:rFonts w:hint="eastAsia" w:ascii="宋体" w:hAnsi="宋体"/>
                <w:b/>
                <w:bCs w:val="0"/>
                <w:iCs/>
                <w:sz w:val="24"/>
                <w:szCs w:val="24"/>
                <w:lang w:val="en-US" w:eastAsia="zh-CN"/>
              </w:rPr>
            </w:pPr>
            <w:r>
              <w:rPr>
                <w:rFonts w:hint="eastAsia" w:ascii="宋体" w:hAnsi="宋体"/>
                <w:b/>
                <w:bCs w:val="0"/>
                <w:iCs/>
                <w:sz w:val="24"/>
                <w:szCs w:val="24"/>
                <w:lang w:val="en-US" w:eastAsia="zh-CN"/>
              </w:rPr>
              <w:t>公司目前玻璃板块运营情况如何？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b w:val="0"/>
                <w:bCs/>
                <w:iCs/>
                <w:sz w:val="24"/>
                <w:szCs w:val="24"/>
                <w:lang w:val="en-US" w:eastAsia="zh-CN"/>
              </w:rPr>
            </w:pPr>
            <w:r>
              <w:rPr>
                <w:rFonts w:hint="eastAsia" w:ascii="宋体" w:hAnsi="宋体"/>
                <w:b w:val="0"/>
                <w:bCs/>
                <w:iCs/>
                <w:sz w:val="24"/>
                <w:szCs w:val="24"/>
                <w:lang w:val="en-US" w:eastAsia="zh-CN"/>
              </w:rPr>
              <w:t>答：目前公司产品结构以电站、光伏玻璃及组件为主，光伏玻璃俨然已成为公司仅此于电站的第二大业绩来源，也在公司产品结构中占据至关重要的位置。</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b w:val="0"/>
                <w:bCs/>
                <w:iCs/>
                <w:sz w:val="24"/>
                <w:szCs w:val="24"/>
                <w:lang w:val="en-US" w:eastAsia="zh-CN"/>
              </w:rPr>
            </w:pPr>
            <w:r>
              <w:rPr>
                <w:rFonts w:hint="eastAsia" w:ascii="宋体" w:hAnsi="宋体"/>
                <w:b w:val="0"/>
                <w:bCs/>
                <w:iCs/>
                <w:sz w:val="24"/>
                <w:szCs w:val="24"/>
                <w:lang w:val="en-US" w:eastAsia="zh-CN"/>
              </w:rPr>
              <w:t>2019年上半年，公司光伏玻璃营收实现1.1亿元，占比总营收24.63%。2019年8月30日，公司位于陕西渭南的300吨玻璃四线技改点火并投产，至此公司共计拥有四条光伏玻璃生产线，玻璃线满产状态下日投料可达800吨。</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default" w:ascii="宋体" w:hAnsi="宋体" w:eastAsia="宋体"/>
                <w:bCs/>
                <w:iCs/>
                <w:sz w:val="24"/>
                <w:szCs w:val="24"/>
                <w:lang w:val="en-US" w:eastAsia="zh-CN"/>
              </w:rPr>
            </w:pPr>
            <w:r>
              <w:rPr>
                <w:rFonts w:hint="eastAsia" w:ascii="宋体" w:hAnsi="宋体"/>
                <w:bCs/>
                <w:iCs/>
                <w:sz w:val="24"/>
                <w:szCs w:val="24"/>
                <w:lang w:val="en-US" w:eastAsia="zh-CN"/>
              </w:rPr>
              <w:t>随着玻璃四线的试运行，公司光伏玻璃的成长性也因其规模性凸显及成本优势明显的优势得以保证。公司光伏玻璃成本优势将逐渐增强，为公司全年业绩的实现奠定基础。</w:t>
            </w:r>
          </w:p>
          <w:p>
            <w:pPr>
              <w:keepNext w:val="0"/>
              <w:keepLines w:val="0"/>
              <w:pageBreakBefore w:val="0"/>
              <w:numPr>
                <w:ilvl w:val="0"/>
                <w:numId w:val="2"/>
              </w:numPr>
              <w:kinsoku/>
              <w:wordWrap/>
              <w:overflowPunct/>
              <w:topLinePunct w:val="0"/>
              <w:autoSpaceDE/>
              <w:autoSpaceDN/>
              <w:bidi w:val="0"/>
              <w:adjustRightInd/>
              <w:snapToGrid/>
              <w:spacing w:line="440" w:lineRule="exact"/>
              <w:textAlignment w:val="auto"/>
              <w:rPr>
                <w:rFonts w:hint="default" w:ascii="宋体" w:hAnsi="宋体"/>
                <w:b/>
                <w:bCs w:val="0"/>
                <w:iCs/>
                <w:sz w:val="24"/>
                <w:szCs w:val="24"/>
                <w:lang w:val="en-US" w:eastAsia="zh-CN"/>
              </w:rPr>
            </w:pPr>
            <w:r>
              <w:rPr>
                <w:rFonts w:hint="eastAsia" w:ascii="宋体" w:hAnsi="宋体"/>
                <w:b/>
                <w:bCs w:val="0"/>
                <w:iCs/>
                <w:sz w:val="24"/>
                <w:szCs w:val="24"/>
                <w:lang w:val="en-US" w:eastAsia="zh-CN"/>
              </w:rPr>
              <w:t>公司目前电站规模如何？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b w:val="0"/>
                <w:bCs/>
                <w:iCs/>
                <w:sz w:val="24"/>
                <w:szCs w:val="24"/>
                <w:lang w:val="en-US" w:eastAsia="zh-CN"/>
              </w:rPr>
            </w:pPr>
            <w:r>
              <w:rPr>
                <w:rFonts w:hint="eastAsia" w:ascii="宋体" w:hAnsi="宋体"/>
                <w:b w:val="0"/>
                <w:bCs/>
                <w:iCs/>
                <w:sz w:val="24"/>
                <w:szCs w:val="24"/>
                <w:lang w:val="en-US" w:eastAsia="zh-CN"/>
              </w:rPr>
              <w:t>答：公司现有自持电站规模超500MW，其中控股自营482MW，参股建设19MW，已全部实现并网且部分电站已纳入国家补贴名录，成为公司每年业绩增长的有力保障。该部分电站在不受外界条件影响的理状态下，预计全年可实现净利润1.5-2亿元。日前，公司与中国广核集团有限公司组成联合体中标青海省海南州特高压外送基地电源配置100MW项目，该项目的中标标志着公司在电站承建方面以及产品生产方面的先驱优势，也深化了公司选择将电站开拓作为业务布局之重的决策正确性。</w:t>
            </w:r>
          </w:p>
          <w:p>
            <w:pPr>
              <w:keepNext w:val="0"/>
              <w:keepLines w:val="0"/>
              <w:pageBreakBefore w:val="0"/>
              <w:numPr>
                <w:ilvl w:val="0"/>
                <w:numId w:val="2"/>
              </w:numPr>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b/>
                <w:bCs w:val="0"/>
                <w:iCs/>
                <w:sz w:val="24"/>
                <w:szCs w:val="24"/>
                <w:lang w:val="en-US" w:eastAsia="zh-CN"/>
              </w:rPr>
            </w:pPr>
            <w:r>
              <w:rPr>
                <w:rFonts w:hint="eastAsia" w:ascii="宋体" w:hAnsi="宋体"/>
                <w:b/>
                <w:bCs w:val="0"/>
                <w:iCs/>
                <w:sz w:val="24"/>
                <w:szCs w:val="24"/>
                <w:lang w:val="en-US" w:eastAsia="zh-CN"/>
              </w:rPr>
              <w:t>公司融资储备如何?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b w:val="0"/>
                <w:bCs/>
                <w:iCs/>
                <w:sz w:val="24"/>
                <w:szCs w:val="24"/>
                <w:lang w:val="en-US" w:eastAsia="zh-CN"/>
              </w:rPr>
            </w:pPr>
            <w:r>
              <w:rPr>
                <w:rFonts w:hint="eastAsia" w:ascii="宋体" w:hAnsi="宋体"/>
                <w:b w:val="0"/>
                <w:bCs/>
                <w:iCs/>
                <w:sz w:val="24"/>
                <w:szCs w:val="24"/>
                <w:lang w:val="en-US" w:eastAsia="zh-CN"/>
              </w:rPr>
              <w:t>答：目前公司已有银行授信、融资租赁及公司债券等多种融资渠道，明年，公司也在积极筹划资本市场的融资事项，待事项确定公司将及时公告相关事项。</w:t>
            </w:r>
          </w:p>
          <w:p>
            <w:pPr>
              <w:keepNext w:val="0"/>
              <w:keepLines w:val="0"/>
              <w:pageBreakBefore w:val="0"/>
              <w:kinsoku/>
              <w:wordWrap/>
              <w:overflowPunct/>
              <w:topLinePunct w:val="0"/>
              <w:autoSpaceDE/>
              <w:autoSpaceDN/>
              <w:bidi w:val="0"/>
              <w:adjustRightInd/>
              <w:snapToGrid/>
              <w:spacing w:line="440" w:lineRule="exact"/>
              <w:textAlignment w:val="auto"/>
              <w:rPr>
                <w:rFonts w:hint="default" w:ascii="宋体" w:hAnsi="宋体" w:eastAsia="宋体"/>
                <w:b/>
                <w:bCs w:val="0"/>
                <w:iCs/>
                <w:sz w:val="24"/>
                <w:szCs w:val="24"/>
                <w:lang w:val="en-US" w:eastAsia="zh-CN"/>
              </w:rPr>
            </w:pPr>
            <w:r>
              <w:rPr>
                <w:rFonts w:hint="eastAsia" w:ascii="宋体" w:hAnsi="宋体"/>
                <w:b/>
                <w:bCs w:val="0"/>
                <w:iCs/>
                <w:sz w:val="24"/>
                <w:szCs w:val="24"/>
                <w:lang w:val="en-US" w:eastAsia="zh-CN"/>
              </w:rPr>
              <w:t>4、公司出口情况如何？</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440" w:lineRule="exact"/>
              <w:ind w:leftChars="0" w:firstLine="480" w:firstLineChars="200"/>
              <w:jc w:val="left"/>
              <w:textAlignment w:val="auto"/>
              <w:rPr>
                <w:rFonts w:hint="default" w:ascii="宋体" w:hAnsi="宋体" w:eastAsia="宋体"/>
                <w:bCs/>
                <w:iCs/>
                <w:sz w:val="24"/>
                <w:szCs w:val="24"/>
                <w:lang w:val="en-US" w:eastAsia="zh-CN"/>
              </w:rPr>
            </w:pPr>
            <w:r>
              <w:rPr>
                <w:rFonts w:hint="eastAsia" w:ascii="宋体" w:hAnsi="宋体"/>
                <w:b w:val="0"/>
                <w:bCs/>
                <w:iCs/>
                <w:sz w:val="24"/>
                <w:szCs w:val="24"/>
                <w:lang w:val="en-US" w:eastAsia="zh-CN"/>
              </w:rPr>
              <w:t>答：公司的产品出口历史可追溯到成立初期，今年以来，海外市场逐渐火热，公司在出口方面的布局也有所加强。目前</w:t>
            </w:r>
            <w:r>
              <w:rPr>
                <w:rFonts w:hint="eastAsia" w:ascii="宋体" w:hAnsi="宋体" w:eastAsia="宋体"/>
                <w:sz w:val="24"/>
                <w:szCs w:val="24"/>
                <w:lang w:val="en-US" w:eastAsia="zh-CN"/>
              </w:rPr>
              <w:t>公司太阳能消费类产品种类400余种，</w:t>
            </w:r>
            <w:r>
              <w:rPr>
                <w:rFonts w:hint="eastAsia" w:ascii="宋体" w:hAnsi="宋体"/>
                <w:sz w:val="24"/>
                <w:szCs w:val="24"/>
                <w:lang w:val="en-US" w:eastAsia="zh-CN"/>
              </w:rPr>
              <w:t>产品远销</w:t>
            </w:r>
            <w:r>
              <w:rPr>
                <w:rFonts w:hint="eastAsia" w:ascii="宋体" w:hAnsi="宋体" w:eastAsia="宋体"/>
                <w:sz w:val="24"/>
                <w:szCs w:val="24"/>
                <w:lang w:val="en-US" w:eastAsia="zh-CN"/>
              </w:rPr>
              <w:t>全球80多个国家和地区，</w:t>
            </w:r>
            <w:r>
              <w:rPr>
                <w:rFonts w:hint="eastAsia" w:ascii="宋体" w:hAnsi="宋体"/>
                <w:sz w:val="24"/>
                <w:szCs w:val="24"/>
                <w:lang w:val="en-US" w:eastAsia="zh-CN"/>
              </w:rPr>
              <w:t>产品种类也由传统单一的消费类产品扩大到组件、玻璃乃至装备生产线。</w:t>
            </w:r>
            <w:r>
              <w:rPr>
                <w:rFonts w:hint="eastAsia" w:ascii="宋体" w:hAnsi="宋体" w:eastAsia="宋体"/>
                <w:sz w:val="24"/>
                <w:szCs w:val="24"/>
                <w:lang w:val="en-US" w:eastAsia="zh-CN"/>
              </w:rPr>
              <w:t>2019年上半年，公司出口实现</w:t>
            </w:r>
            <w:r>
              <w:rPr>
                <w:rFonts w:hint="eastAsia" w:ascii="宋体" w:hAnsi="宋体"/>
                <w:sz w:val="24"/>
                <w:lang w:val="en-US" w:eastAsia="zh-CN"/>
              </w:rPr>
              <w:t>营收1.19亿元，占比半年度总营收的26.69%。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b/>
                <w:bCs/>
                <w:iCs/>
                <w:sz w:val="24"/>
                <w:szCs w:val="24"/>
              </w:rPr>
            </w:pPr>
            <w:r>
              <w:rPr>
                <w:rFonts w:hint="eastAsia" w:ascii="宋体" w:hAnsi="宋体"/>
                <w:b/>
                <w:bCs/>
                <w:iCs/>
                <w:sz w:val="24"/>
                <w:szCs w:val="24"/>
              </w:rPr>
              <w:t>附件清单（如有）</w:t>
            </w:r>
          </w:p>
        </w:tc>
        <w:tc>
          <w:tcPr>
            <w:tcW w:w="6614" w:type="dxa"/>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bCs/>
                <w:iCs/>
                <w:sz w:val="24"/>
                <w:szCs w:val="24"/>
                <w:lang w:val="en-US" w:eastAsia="zh-CN"/>
              </w:rPr>
            </w:pPr>
            <w:r>
              <w:rPr>
                <w:rFonts w:hint="eastAsia" w:ascii="宋体" w:hAnsi="宋体"/>
                <w:bCs/>
                <w:iCs/>
                <w:sz w:val="24"/>
                <w:szCs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b/>
                <w:bCs/>
                <w:iCs/>
                <w:sz w:val="24"/>
                <w:szCs w:val="24"/>
              </w:rPr>
            </w:pPr>
            <w:r>
              <w:rPr>
                <w:rFonts w:hint="eastAsia" w:ascii="宋体" w:hAnsi="宋体"/>
                <w:b/>
                <w:bCs/>
                <w:iCs/>
                <w:sz w:val="24"/>
                <w:szCs w:val="24"/>
              </w:rPr>
              <w:t>日期</w:t>
            </w:r>
          </w:p>
        </w:tc>
        <w:tc>
          <w:tcPr>
            <w:tcW w:w="6614" w:type="dxa"/>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default" w:ascii="宋体" w:hAnsi="宋体" w:eastAsia="宋体"/>
                <w:bCs/>
                <w:iCs/>
                <w:sz w:val="24"/>
                <w:szCs w:val="24"/>
                <w:lang w:val="en-US" w:eastAsia="zh-CN"/>
              </w:rPr>
            </w:pPr>
            <w:r>
              <w:rPr>
                <w:rFonts w:hint="eastAsia" w:ascii="宋体" w:hAnsi="宋体"/>
                <w:bCs/>
                <w:iCs/>
                <w:sz w:val="24"/>
                <w:szCs w:val="24"/>
                <w:lang w:val="en-US" w:eastAsia="zh-CN"/>
              </w:rPr>
              <w:t>20191112</w:t>
            </w:r>
          </w:p>
        </w:tc>
      </w:tr>
    </w:tbl>
    <w:p>
      <w:pPr>
        <w:widowControl/>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771D2"/>
    <w:multiLevelType w:val="singleLevel"/>
    <w:tmpl w:val="4F9771D2"/>
    <w:lvl w:ilvl="0" w:tentative="0">
      <w:start w:val="2"/>
      <w:numFmt w:val="decimal"/>
      <w:suff w:val="nothing"/>
      <w:lvlText w:val="%1、"/>
      <w:lvlJc w:val="left"/>
    </w:lvl>
  </w:abstractNum>
  <w:abstractNum w:abstractNumId="1">
    <w:nsid w:val="67247500"/>
    <w:multiLevelType w:val="singleLevel"/>
    <w:tmpl w:val="67247500"/>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27B"/>
    <w:rsid w:val="000861EA"/>
    <w:rsid w:val="00231B20"/>
    <w:rsid w:val="0037747A"/>
    <w:rsid w:val="0051719A"/>
    <w:rsid w:val="006B3C5E"/>
    <w:rsid w:val="006C4CBB"/>
    <w:rsid w:val="007934A7"/>
    <w:rsid w:val="007D3C0F"/>
    <w:rsid w:val="00895DA7"/>
    <w:rsid w:val="008F0A8B"/>
    <w:rsid w:val="00914530"/>
    <w:rsid w:val="00A95CFC"/>
    <w:rsid w:val="00AB39B5"/>
    <w:rsid w:val="00AF402E"/>
    <w:rsid w:val="00CC7331"/>
    <w:rsid w:val="00CD32B3"/>
    <w:rsid w:val="00D0027B"/>
    <w:rsid w:val="00D05850"/>
    <w:rsid w:val="00D067AF"/>
    <w:rsid w:val="00ED50A7"/>
    <w:rsid w:val="00F77931"/>
    <w:rsid w:val="0506028C"/>
    <w:rsid w:val="0E1E4F55"/>
    <w:rsid w:val="0F69081A"/>
    <w:rsid w:val="14B82C55"/>
    <w:rsid w:val="1C2F6518"/>
    <w:rsid w:val="1F664C92"/>
    <w:rsid w:val="20E7075B"/>
    <w:rsid w:val="21F77F79"/>
    <w:rsid w:val="252326C9"/>
    <w:rsid w:val="253C4239"/>
    <w:rsid w:val="29971577"/>
    <w:rsid w:val="2C8A01E9"/>
    <w:rsid w:val="323E5158"/>
    <w:rsid w:val="36DC31DA"/>
    <w:rsid w:val="3D1F3F38"/>
    <w:rsid w:val="406B40E5"/>
    <w:rsid w:val="4B017CA9"/>
    <w:rsid w:val="4B3B7F61"/>
    <w:rsid w:val="4C9C6FC8"/>
    <w:rsid w:val="4ED31437"/>
    <w:rsid w:val="50647D7E"/>
    <w:rsid w:val="52A01435"/>
    <w:rsid w:val="52FB3D14"/>
    <w:rsid w:val="559E3704"/>
    <w:rsid w:val="5D8F7BE2"/>
    <w:rsid w:val="5F1579E4"/>
    <w:rsid w:val="609621B9"/>
    <w:rsid w:val="6C060136"/>
    <w:rsid w:val="6D3A2C9F"/>
    <w:rsid w:val="72E950AD"/>
    <w:rsid w:val="75BE107C"/>
    <w:rsid w:val="75E81345"/>
    <w:rsid w:val="77E87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5"/>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7"/>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Plain Text"/>
    <w:basedOn w:val="1"/>
    <w:qFormat/>
    <w:uiPriority w:val="0"/>
    <w:rPr>
      <w:rFonts w:ascii="宋体" w:hAnsi="Courier New" w:eastAsia="宋体"/>
      <w:sz w:val="21"/>
    </w:rPr>
  </w:style>
  <w:style w:type="paragraph" w:styleId="6">
    <w:name w:val="Balloon Text"/>
    <w:basedOn w:val="1"/>
    <w:link w:val="20"/>
    <w:semiHidden/>
    <w:unhideWhenUsed/>
    <w:qFormat/>
    <w:uiPriority w:val="99"/>
    <w:rPr>
      <w:sz w:val="18"/>
      <w:szCs w:val="18"/>
    </w:rPr>
  </w:style>
  <w:style w:type="paragraph" w:styleId="7">
    <w:name w:val="footer"/>
    <w:basedOn w:val="1"/>
    <w:link w:val="23"/>
    <w:unhideWhenUsed/>
    <w:qFormat/>
    <w:uiPriority w:val="99"/>
    <w:pPr>
      <w:tabs>
        <w:tab w:val="center" w:pos="4153"/>
        <w:tab w:val="right" w:pos="8306"/>
      </w:tabs>
      <w:snapToGrid w:val="0"/>
      <w:jc w:val="left"/>
    </w:pPr>
    <w:rPr>
      <w:sz w:val="18"/>
      <w:szCs w:val="18"/>
    </w:rPr>
  </w:style>
  <w:style w:type="paragraph" w:styleId="8">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semiHidden/>
    <w:unhideWhenUsed/>
    <w:qFormat/>
    <w:uiPriority w:val="39"/>
    <w:rPr>
      <w:sz w:val="28"/>
    </w:rPr>
  </w:style>
  <w:style w:type="paragraph" w:styleId="10">
    <w:name w:val="toc 2"/>
    <w:basedOn w:val="1"/>
    <w:next w:val="1"/>
    <w:unhideWhenUsed/>
    <w:qFormat/>
    <w:uiPriority w:val="39"/>
    <w:pPr>
      <w:ind w:left="420" w:leftChars="200"/>
    </w:pPr>
    <w:rPr>
      <w:sz w:val="28"/>
    </w:rPr>
  </w:style>
  <w:style w:type="paragraph" w:styleId="11">
    <w:name w:val="Normal (Web)"/>
    <w:basedOn w:val="1"/>
    <w:qFormat/>
    <w:uiPriority w:val="0"/>
    <w:pPr>
      <w:widowControl/>
      <w:spacing w:before="100" w:beforeAutospacing="1" w:after="100" w:afterAutospacing="1" w:line="360" w:lineRule="auto"/>
      <w:jc w:val="left"/>
    </w:pPr>
    <w:rPr>
      <w:rFonts w:ascii="Arial Unicode MS" w:hAnsi="Arial Unicode MS" w:eastAsia="Arial Unicode MS" w:cs="Arial Unicode MS"/>
      <w:kern w:val="0"/>
      <w:sz w:val="18"/>
      <w:szCs w:val="18"/>
    </w:rPr>
  </w:style>
  <w:style w:type="character" w:styleId="14">
    <w:name w:val="Hyperlink"/>
    <w:basedOn w:val="13"/>
    <w:unhideWhenUsed/>
    <w:qFormat/>
    <w:uiPriority w:val="99"/>
    <w:rPr>
      <w:color w:val="0000FF" w:themeColor="hyperlink"/>
      <w:u w:val="single"/>
      <w14:textFill>
        <w14:solidFill>
          <w14:schemeClr w14:val="hlink"/>
        </w14:solidFill>
      </w14:textFill>
    </w:rPr>
  </w:style>
  <w:style w:type="character" w:customStyle="1" w:styleId="15">
    <w:name w:val="标题 1 Char"/>
    <w:basedOn w:val="13"/>
    <w:link w:val="2"/>
    <w:qFormat/>
    <w:uiPriority w:val="99"/>
    <w:rPr>
      <w:rFonts w:ascii="Times New Roman" w:hAnsi="Times New Roman" w:eastAsia="宋体" w:cs="Times New Roman"/>
      <w:b/>
      <w:bCs/>
      <w:kern w:val="44"/>
      <w:sz w:val="44"/>
      <w:szCs w:val="44"/>
    </w:rPr>
  </w:style>
  <w:style w:type="character" w:customStyle="1" w:styleId="16">
    <w:name w:val="标题 2 Char"/>
    <w:basedOn w:val="13"/>
    <w:link w:val="3"/>
    <w:qFormat/>
    <w:uiPriority w:val="9"/>
    <w:rPr>
      <w:rFonts w:asciiTheme="majorHAnsi" w:hAnsiTheme="majorHAnsi" w:eastAsiaTheme="majorEastAsia" w:cstheme="majorBidi"/>
      <w:b/>
      <w:bCs/>
      <w:sz w:val="32"/>
      <w:szCs w:val="32"/>
    </w:rPr>
  </w:style>
  <w:style w:type="character" w:customStyle="1" w:styleId="17">
    <w:name w:val="标题 3 Char"/>
    <w:basedOn w:val="13"/>
    <w:link w:val="4"/>
    <w:qFormat/>
    <w:uiPriority w:val="9"/>
    <w:rPr>
      <w:rFonts w:ascii="Times New Roman" w:hAnsi="Times New Roman" w:eastAsia="宋体" w:cs="Times New Roman"/>
      <w:b/>
      <w:bCs/>
      <w:sz w:val="32"/>
      <w:szCs w:val="32"/>
    </w:rPr>
  </w:style>
  <w:style w:type="paragraph" w:styleId="18">
    <w:name w:val="No Spacing"/>
    <w:link w:val="19"/>
    <w:qFormat/>
    <w:uiPriority w:val="1"/>
    <w:rPr>
      <w:rFonts w:asciiTheme="minorHAnsi" w:hAnsiTheme="minorHAnsi" w:eastAsiaTheme="minorEastAsia" w:cstheme="minorBidi"/>
      <w:kern w:val="0"/>
      <w:sz w:val="22"/>
      <w:szCs w:val="22"/>
      <w:lang w:val="en-US" w:eastAsia="zh-CN" w:bidi="ar-SA"/>
    </w:rPr>
  </w:style>
  <w:style w:type="character" w:customStyle="1" w:styleId="19">
    <w:name w:val="无间隔 Char"/>
    <w:basedOn w:val="13"/>
    <w:link w:val="18"/>
    <w:qFormat/>
    <w:uiPriority w:val="1"/>
    <w:rPr>
      <w:kern w:val="0"/>
      <w:sz w:val="22"/>
    </w:rPr>
  </w:style>
  <w:style w:type="character" w:customStyle="1" w:styleId="20">
    <w:name w:val="批注框文本 Char"/>
    <w:basedOn w:val="13"/>
    <w:link w:val="6"/>
    <w:semiHidden/>
    <w:qFormat/>
    <w:uiPriority w:val="99"/>
    <w:rPr>
      <w:rFonts w:ascii="Times New Roman" w:hAnsi="Times New Roman" w:eastAsia="宋体" w:cs="Times New Roman"/>
      <w:sz w:val="18"/>
      <w:szCs w:val="18"/>
    </w:rPr>
  </w:style>
  <w:style w:type="paragraph" w:customStyle="1" w:styleId="21">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2">
    <w:name w:val="页眉 Char"/>
    <w:basedOn w:val="13"/>
    <w:link w:val="8"/>
    <w:qFormat/>
    <w:uiPriority w:val="99"/>
    <w:rPr>
      <w:rFonts w:ascii="Times New Roman" w:hAnsi="Times New Roman" w:eastAsia="宋体" w:cs="Times New Roman"/>
      <w:sz w:val="18"/>
      <w:szCs w:val="18"/>
    </w:rPr>
  </w:style>
  <w:style w:type="character" w:customStyle="1" w:styleId="23">
    <w:name w:val="页脚 Char"/>
    <w:basedOn w:val="13"/>
    <w:link w:val="7"/>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22E5CA-94FF-4DD8-8F46-CA61F4C55741}">
  <ds:schemaRefs/>
</ds:datastoreItem>
</file>

<file path=docProps/app.xml><?xml version="1.0" encoding="utf-8"?>
<Properties xmlns="http://schemas.openxmlformats.org/officeDocument/2006/extended-properties" xmlns:vt="http://schemas.openxmlformats.org/officeDocument/2006/docPropsVTypes">
  <Template>Normal.dotm</Template>
  <Pages>14</Pages>
  <Words>887</Words>
  <Characters>5062</Characters>
  <Lines>42</Lines>
  <Paragraphs>11</Paragraphs>
  <TotalTime>11</TotalTime>
  <ScaleCrop>false</ScaleCrop>
  <LinksUpToDate>false</LinksUpToDate>
  <CharactersWithSpaces>5938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2016-07-06T06:37:00Z</dcterms:created>
  <dc:creator>王忻[xinwang]</dc:creator>
  <cp:lastModifiedBy>Again</cp:lastModifiedBy>
  <dcterms:modified xsi:type="dcterms:W3CDTF">2019-11-14T09:48:03Z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