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FE5" w:rsidRDefault="00461FE5" w:rsidP="00461FE5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  <w:szCs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证券代码： </w:t>
      </w:r>
      <w:r>
        <w:rPr>
          <w:rFonts w:ascii="宋体" w:hAnsi="宋体"/>
          <w:bCs/>
          <w:iCs/>
          <w:color w:val="000000"/>
          <w:sz w:val="24"/>
        </w:rPr>
        <w:t>300130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证券简称：新国都</w:t>
      </w:r>
    </w:p>
    <w:p w:rsidR="00461FE5" w:rsidRDefault="00461FE5" w:rsidP="00461FE5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深圳市新国都股份有限公司</w:t>
      </w:r>
    </w:p>
    <w:p w:rsidR="00461FE5" w:rsidRDefault="00461FE5" w:rsidP="00461FE5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461FE5" w:rsidRDefault="00461FE5" w:rsidP="00461FE5">
      <w:pPr>
        <w:spacing w:line="400" w:lineRule="exact"/>
        <w:rPr>
          <w:rFonts w:ascii="宋体" w:hAnsi="宋体"/>
          <w:bCs/>
          <w:iCs/>
          <w:color w:val="000000"/>
          <w:sz w:val="24"/>
          <w:szCs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编号：</w:t>
      </w:r>
      <w:r w:rsidR="004D6012">
        <w:rPr>
          <w:rFonts w:ascii="宋体" w:hAnsi="宋体" w:hint="eastAsia"/>
          <w:bCs/>
          <w:iCs/>
          <w:color w:val="000000"/>
          <w:sz w:val="24"/>
        </w:rPr>
        <w:t>201</w:t>
      </w:r>
      <w:r w:rsidR="004D6012">
        <w:rPr>
          <w:rFonts w:ascii="宋体" w:hAnsi="宋体"/>
          <w:bCs/>
          <w:iCs/>
          <w:color w:val="000000"/>
          <w:sz w:val="24"/>
        </w:rPr>
        <w:t>9002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6438"/>
      </w:tblGrid>
      <w:tr w:rsidR="00461FE5" w:rsidTr="0034360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5" w:rsidRDefault="00461FE5" w:rsidP="00343607">
            <w:pPr>
              <w:spacing w:line="480" w:lineRule="atLeast"/>
              <w:rPr>
                <w:rFonts w:asciiTheme="minorEastAsia" w:eastAsiaTheme="minorEastAsia" w:hAnsiTheme="minorEastAsia" w:cstheme="minorEastAsi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5" w:rsidRPr="00E95229" w:rsidRDefault="004D6012" w:rsidP="0034360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E95229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461FE5" w:rsidRPr="00E95229">
              <w:rPr>
                <w:rFonts w:ascii="宋体" w:hAnsi="宋体" w:hint="eastAsia"/>
                <w:sz w:val="24"/>
              </w:rPr>
              <w:t xml:space="preserve">特定对象调研        </w:t>
            </w:r>
            <w:r w:rsidR="00461FE5" w:rsidRPr="00E95229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461FE5" w:rsidRPr="00E95229">
              <w:rPr>
                <w:rFonts w:ascii="宋体" w:hAnsi="宋体" w:hint="eastAsia"/>
                <w:sz w:val="24"/>
              </w:rPr>
              <w:t>分析师会议</w:t>
            </w:r>
          </w:p>
          <w:p w:rsidR="00461FE5" w:rsidRPr="00E95229" w:rsidRDefault="004D6012" w:rsidP="0034360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="00461FE5" w:rsidRPr="00E95229">
              <w:rPr>
                <w:rFonts w:ascii="宋体" w:hAnsi="宋体" w:hint="eastAsia"/>
                <w:sz w:val="24"/>
              </w:rPr>
              <w:t xml:space="preserve">媒体采访            </w:t>
            </w:r>
            <w:r w:rsidR="00461FE5" w:rsidRPr="00E95229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461FE5" w:rsidRPr="00E95229">
              <w:rPr>
                <w:rFonts w:ascii="宋体" w:hAnsi="宋体" w:hint="eastAsia"/>
                <w:sz w:val="24"/>
              </w:rPr>
              <w:t>业绩说明会</w:t>
            </w:r>
          </w:p>
          <w:p w:rsidR="00461FE5" w:rsidRPr="00E95229" w:rsidRDefault="00461FE5" w:rsidP="0034360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E95229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E95229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E95229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E95229">
              <w:rPr>
                <w:rFonts w:ascii="宋体" w:hAnsi="宋体" w:hint="eastAsia"/>
                <w:sz w:val="24"/>
              </w:rPr>
              <w:t>路演活动</w:t>
            </w:r>
          </w:p>
          <w:p w:rsidR="00461FE5" w:rsidRPr="00E95229" w:rsidRDefault="00461FE5" w:rsidP="00343607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E95229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E95229">
              <w:rPr>
                <w:rFonts w:ascii="宋体" w:hAnsi="宋体" w:hint="eastAsia"/>
                <w:sz w:val="24"/>
              </w:rPr>
              <w:t>现场参观</w:t>
            </w:r>
          </w:p>
          <w:p w:rsidR="00461FE5" w:rsidRDefault="00E90C36" w:rsidP="009159E8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Theme="minorEastAsia" w:eastAsiaTheme="minorEastAsia" w:hAnsiTheme="minorEastAsia" w:cstheme="minorEastAsi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="00461FE5" w:rsidRPr="00E95229">
              <w:rPr>
                <w:rFonts w:ascii="宋体" w:hAnsi="宋体" w:hint="eastAsia"/>
                <w:sz w:val="24"/>
              </w:rPr>
              <w:t>其他</w:t>
            </w:r>
            <w:r w:rsidR="00461FE5" w:rsidRPr="00E95229">
              <w:rPr>
                <w:rFonts w:ascii="宋体" w:hAnsi="宋体"/>
                <w:sz w:val="24"/>
                <w:u w:val="single"/>
              </w:rPr>
              <w:t xml:space="preserve">  </w:t>
            </w:r>
            <w:r w:rsidR="00887E22">
              <w:rPr>
                <w:rFonts w:ascii="宋体" w:hAnsi="宋体" w:hint="eastAsia"/>
                <w:sz w:val="24"/>
                <w:u w:val="single"/>
              </w:rPr>
              <w:t>邮件</w:t>
            </w:r>
            <w:r w:rsidR="00887E22">
              <w:rPr>
                <w:rFonts w:ascii="宋体" w:hAnsi="宋体"/>
                <w:sz w:val="24"/>
                <w:u w:val="single"/>
              </w:rPr>
              <w:t>采访</w:t>
            </w:r>
            <w:r w:rsidR="009159E8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9159E8">
              <w:rPr>
                <w:rFonts w:ascii="宋体" w:hAnsi="宋体"/>
                <w:sz w:val="24"/>
                <w:u w:val="single"/>
              </w:rPr>
              <w:t xml:space="preserve">       </w:t>
            </w:r>
          </w:p>
        </w:tc>
      </w:tr>
      <w:tr w:rsidR="00461FE5" w:rsidTr="0034360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5" w:rsidRDefault="00461FE5" w:rsidP="00343607">
            <w:pPr>
              <w:spacing w:line="480" w:lineRule="atLeast"/>
              <w:rPr>
                <w:rFonts w:asciiTheme="minorEastAsia" w:eastAsiaTheme="minorEastAsia" w:hAnsiTheme="minorEastAsia" w:cstheme="minorEastAsi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iCs/>
                <w:color w:val="000000"/>
                <w:sz w:val="24"/>
                <w:szCs w:val="24"/>
              </w:rPr>
              <w:t>参与单位名称及人员姓名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FE" w:rsidRDefault="004D6012" w:rsidP="00343607">
            <w:pPr>
              <w:spacing w:line="480" w:lineRule="atLeast"/>
              <w:rPr>
                <w:rFonts w:asciiTheme="minorEastAsia" w:eastAsiaTheme="minorEastAsia" w:hAnsiTheme="minorEastAsia" w:cstheme="minorEastAsi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iCs/>
                <w:color w:val="000000"/>
                <w:sz w:val="24"/>
                <w:szCs w:val="24"/>
              </w:rPr>
              <w:t>中国经营报 刘颖</w:t>
            </w:r>
          </w:p>
        </w:tc>
      </w:tr>
      <w:tr w:rsidR="00461FE5" w:rsidTr="0034360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5" w:rsidRDefault="00461FE5" w:rsidP="00343607">
            <w:pPr>
              <w:spacing w:line="480" w:lineRule="atLeast"/>
              <w:rPr>
                <w:rFonts w:asciiTheme="minorEastAsia" w:eastAsiaTheme="minorEastAsia" w:hAnsiTheme="minorEastAsia" w:cstheme="minorEastAsi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i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C" w:rsidRDefault="004D6012" w:rsidP="00887E22">
            <w:pPr>
              <w:spacing w:line="480" w:lineRule="atLeast"/>
              <w:rPr>
                <w:rFonts w:asciiTheme="minorEastAsia" w:eastAsiaTheme="minorEastAsia" w:hAnsiTheme="minorEastAsia" w:cstheme="minorEastAsi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bCs/>
                <w:iCs/>
                <w:color w:val="000000"/>
                <w:sz w:val="24"/>
                <w:szCs w:val="24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bCs/>
                <w:iCs/>
                <w:color w:val="000000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theme="minorEastAsia"/>
                <w:bCs/>
                <w:iCs/>
                <w:color w:val="000000"/>
                <w:sz w:val="24"/>
                <w:szCs w:val="24"/>
              </w:rPr>
              <w:t>11</w:t>
            </w:r>
            <w:r w:rsidR="00694F7C">
              <w:rPr>
                <w:rFonts w:asciiTheme="minorEastAsia" w:eastAsiaTheme="minorEastAsia" w:hAnsiTheme="minorEastAsia" w:cstheme="minorEastAsia" w:hint="eastAsia"/>
                <w:bCs/>
                <w:iCs/>
                <w:color w:val="000000"/>
                <w:sz w:val="24"/>
                <w:szCs w:val="24"/>
              </w:rPr>
              <w:t>月</w:t>
            </w:r>
            <w:r w:rsidR="006E4732">
              <w:rPr>
                <w:rFonts w:asciiTheme="minorEastAsia" w:eastAsiaTheme="minorEastAsia" w:hAnsiTheme="minorEastAsia" w:cstheme="minorEastAsia" w:hint="eastAsia"/>
                <w:bCs/>
                <w:iCs/>
                <w:color w:val="000000"/>
                <w:sz w:val="24"/>
                <w:szCs w:val="24"/>
              </w:rPr>
              <w:t>1</w:t>
            </w:r>
            <w:r w:rsidR="006E4732">
              <w:rPr>
                <w:rFonts w:asciiTheme="minorEastAsia" w:eastAsiaTheme="minorEastAsia" w:hAnsiTheme="minorEastAsia" w:cstheme="minorEastAsia"/>
                <w:bCs/>
                <w:iCs/>
                <w:color w:val="000000"/>
                <w:sz w:val="24"/>
                <w:szCs w:val="24"/>
              </w:rPr>
              <w:t>4</w:t>
            </w:r>
            <w:r w:rsidR="00694F7C">
              <w:rPr>
                <w:rFonts w:asciiTheme="minorEastAsia" w:eastAsiaTheme="minorEastAsia" w:hAnsiTheme="minorEastAsia" w:cstheme="minorEastAsia" w:hint="eastAsia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  <w:tr w:rsidR="00461FE5" w:rsidTr="0034360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5" w:rsidRDefault="00461FE5" w:rsidP="00343607">
            <w:pPr>
              <w:spacing w:line="480" w:lineRule="atLeast"/>
              <w:rPr>
                <w:rFonts w:asciiTheme="minorEastAsia" w:eastAsiaTheme="minorEastAsia" w:hAnsiTheme="minorEastAsia" w:cstheme="minorEastAsi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iCs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5" w:rsidRDefault="00C55740" w:rsidP="00C55740">
            <w:pPr>
              <w:spacing w:line="480" w:lineRule="atLeast"/>
              <w:ind w:firstLineChars="50" w:firstLine="120"/>
              <w:rPr>
                <w:rFonts w:asciiTheme="minorEastAsia" w:eastAsiaTheme="minorEastAsia" w:hAnsiTheme="minorEastAsia" w:cstheme="minorEastAsi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iCs/>
                <w:color w:val="000000"/>
                <w:sz w:val="24"/>
                <w:szCs w:val="24"/>
              </w:rPr>
              <w:t>/</w:t>
            </w:r>
          </w:p>
        </w:tc>
      </w:tr>
      <w:tr w:rsidR="00461FE5" w:rsidTr="0034360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5" w:rsidRDefault="00461FE5" w:rsidP="00343607">
            <w:pPr>
              <w:spacing w:line="480" w:lineRule="atLeast"/>
              <w:rPr>
                <w:rFonts w:asciiTheme="minorEastAsia" w:eastAsiaTheme="minorEastAsia" w:hAnsiTheme="minorEastAsia" w:cstheme="minorEastAsi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iCs/>
                <w:color w:val="000000"/>
                <w:sz w:val="24"/>
                <w:szCs w:val="24"/>
              </w:rPr>
              <w:t>上市公司接待人员姓名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5" w:rsidRDefault="00461FE5" w:rsidP="00343607">
            <w:pPr>
              <w:spacing w:line="480" w:lineRule="atLeast"/>
              <w:rPr>
                <w:rFonts w:asciiTheme="minorEastAsia" w:eastAsiaTheme="minorEastAsia" w:hAnsiTheme="minorEastAsia" w:cstheme="minorEastAsi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iCs/>
                <w:color w:val="000000"/>
                <w:sz w:val="24"/>
                <w:szCs w:val="24"/>
              </w:rPr>
              <w:t>新国都</w:t>
            </w:r>
            <w:r w:rsidR="00D31543">
              <w:rPr>
                <w:rFonts w:asciiTheme="minorEastAsia" w:eastAsiaTheme="minorEastAsia" w:hAnsiTheme="minorEastAsia" w:cstheme="minorEastAsia" w:hint="eastAsia"/>
                <w:bCs/>
                <w:iCs/>
                <w:color w:val="000000"/>
                <w:sz w:val="24"/>
                <w:szCs w:val="24"/>
              </w:rPr>
              <w:t>财务总监</w:t>
            </w:r>
            <w:r w:rsidR="00D31543">
              <w:rPr>
                <w:rFonts w:asciiTheme="minorEastAsia" w:eastAsiaTheme="minorEastAsia" w:hAnsiTheme="minorEastAsia" w:cstheme="minorEastAsia"/>
                <w:bCs/>
                <w:iCs/>
                <w:color w:val="000000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bCs/>
                <w:iCs/>
                <w:color w:val="000000"/>
                <w:sz w:val="24"/>
                <w:szCs w:val="24"/>
              </w:rPr>
              <w:t>董事会秘书 宋菁</w:t>
            </w:r>
          </w:p>
          <w:p w:rsidR="00461FE5" w:rsidRDefault="00461FE5" w:rsidP="00343607">
            <w:pPr>
              <w:spacing w:line="480" w:lineRule="atLeast"/>
              <w:rPr>
                <w:rFonts w:asciiTheme="minorEastAsia" w:eastAsiaTheme="minorEastAsia" w:hAnsiTheme="minorEastAsia" w:cstheme="minorEastAsia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461FE5" w:rsidTr="0034360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5" w:rsidRDefault="00461FE5" w:rsidP="00343607">
            <w:pPr>
              <w:spacing w:line="480" w:lineRule="atLeast"/>
              <w:rPr>
                <w:rFonts w:asciiTheme="minorEastAsia" w:eastAsiaTheme="minorEastAsia" w:hAnsiTheme="minorEastAsia" w:cstheme="minorEastAsi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  <w:p w:rsidR="00461FE5" w:rsidRDefault="00461FE5" w:rsidP="00343607">
            <w:pPr>
              <w:spacing w:line="480" w:lineRule="atLeast"/>
              <w:rPr>
                <w:rFonts w:asciiTheme="minorEastAsia" w:eastAsiaTheme="minorEastAsia" w:hAnsiTheme="minorEastAsia" w:cstheme="minorEastAsia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84" w:rsidRPr="00BA277A" w:rsidRDefault="00BA277A" w:rsidP="0026732D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  <w:r w:rsidRPr="00BA277A">
              <w:rPr>
                <w:rFonts w:ascii="宋体" w:hAnsi="宋体" w:hint="eastAsia"/>
                <w:b/>
                <w:sz w:val="24"/>
                <w:szCs w:val="24"/>
              </w:rPr>
              <w:t>一</w:t>
            </w:r>
            <w:r w:rsidRPr="00BA277A">
              <w:rPr>
                <w:rFonts w:ascii="宋体" w:hAnsi="宋体"/>
                <w:b/>
                <w:sz w:val="24"/>
                <w:szCs w:val="24"/>
              </w:rPr>
              <w:t>、</w:t>
            </w:r>
            <w:r w:rsidR="00653884" w:rsidRPr="00BA277A">
              <w:rPr>
                <w:rFonts w:ascii="宋体" w:hAnsi="宋体" w:hint="eastAsia"/>
                <w:b/>
                <w:sz w:val="24"/>
                <w:szCs w:val="24"/>
              </w:rPr>
              <w:t>主要问题</w:t>
            </w:r>
            <w:r>
              <w:rPr>
                <w:rFonts w:ascii="宋体" w:hAnsi="宋体"/>
                <w:b/>
                <w:sz w:val="24"/>
                <w:szCs w:val="24"/>
              </w:rPr>
              <w:t>及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答复</w:t>
            </w:r>
          </w:p>
          <w:p w:rsidR="00FC2E99" w:rsidRPr="00BA277A" w:rsidRDefault="00653884" w:rsidP="0026732D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  <w:r w:rsidRPr="00BA277A">
              <w:rPr>
                <w:rFonts w:ascii="宋体" w:hAnsi="宋体" w:hint="eastAsia"/>
                <w:b/>
                <w:sz w:val="24"/>
                <w:szCs w:val="24"/>
              </w:rPr>
              <w:t>问：</w:t>
            </w:r>
            <w:r w:rsidR="006E4732" w:rsidRPr="00BA277A">
              <w:rPr>
                <w:rFonts w:ascii="宋体" w:hAnsi="宋体" w:hint="eastAsia"/>
                <w:b/>
                <w:sz w:val="24"/>
                <w:szCs w:val="24"/>
              </w:rPr>
              <w:t>2018年，新国都电子支付产品销售业务的营收为8.94亿元，较上年同期下降了8,344万元，毛利率为24.84%，而2015年至2017年，该业务的毛利率均在30%以上，2019年上半年，该业务的毛利率又恢复至34.20%。新国都电子支付产品销售毛利率的短暂、突然性下跌是否降低了下游嘉联支付收单业务的成本，从而协助其提前完成业务承诺？</w:t>
            </w:r>
          </w:p>
          <w:p w:rsidR="006E4732" w:rsidRDefault="00653884" w:rsidP="0026732D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 w:rsidR="006E4732" w:rsidRPr="006E4732">
              <w:rPr>
                <w:rFonts w:ascii="宋体" w:hAnsi="宋体" w:hint="eastAsia"/>
                <w:sz w:val="24"/>
                <w:szCs w:val="24"/>
              </w:rPr>
              <w:t>2015年至2018年，随着市场需求的变化，低毛利的POS机具销售占比增加，所以拉低了公司电子支付受理终端产品整体毛利率水平。2015年至2018年，与同行业可比上市公司如新大陆、证通电子等相比，电子支付产品硬件的毛利率均呈下滑趋势，公司毛利率走势符合行业情况。公司不存在通过问题所述的手段协助嘉联支付提前完成业绩承</w:t>
            </w:r>
            <w:r w:rsidR="006E4732" w:rsidRPr="006E4732">
              <w:rPr>
                <w:rFonts w:ascii="宋体" w:hAnsi="宋体" w:hint="eastAsia"/>
                <w:sz w:val="24"/>
                <w:szCs w:val="24"/>
              </w:rPr>
              <w:lastRenderedPageBreak/>
              <w:t>诺。</w:t>
            </w:r>
          </w:p>
          <w:p w:rsidR="006E4732" w:rsidRPr="00BA277A" w:rsidRDefault="00653884" w:rsidP="0026732D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  <w:r w:rsidRPr="00BA277A">
              <w:rPr>
                <w:rFonts w:ascii="宋体" w:hAnsi="宋体" w:hint="eastAsia"/>
                <w:b/>
                <w:sz w:val="24"/>
                <w:szCs w:val="24"/>
              </w:rPr>
              <w:t>问：</w:t>
            </w:r>
            <w:r w:rsidR="006E4732" w:rsidRPr="00BA277A">
              <w:rPr>
                <w:rFonts w:ascii="宋体" w:hAnsi="宋体" w:hint="eastAsia"/>
                <w:b/>
                <w:sz w:val="24"/>
                <w:szCs w:val="24"/>
              </w:rPr>
              <w:t>此前，广东警方7月份监测发现490余款App存在违规行为，并对其中存在突出安全问题的44款App进行了曝光。其中包括嘉联支付旗下立刷App。据曝光情况显示，立刷App存在读取用户通讯录；允许发送短信、彩信；允许录制音频等超范围收集用户信息的情况，且没有隐私政策。警方表示，有关监测情况已上报公安部通报属地公安机关开展清理整治。请问目前贵公司对此A</w:t>
            </w:r>
            <w:r w:rsidR="002B4954">
              <w:rPr>
                <w:rFonts w:ascii="宋体" w:hAnsi="宋体"/>
                <w:b/>
                <w:sz w:val="24"/>
                <w:szCs w:val="24"/>
              </w:rPr>
              <w:t>pp</w:t>
            </w:r>
            <w:r w:rsidR="006E4732" w:rsidRPr="00BA277A">
              <w:rPr>
                <w:rFonts w:ascii="宋体" w:hAnsi="宋体" w:hint="eastAsia"/>
                <w:b/>
                <w:sz w:val="24"/>
                <w:szCs w:val="24"/>
              </w:rPr>
              <w:t>作出了怎样的整改？</w:t>
            </w:r>
          </w:p>
          <w:p w:rsidR="006E4732" w:rsidRPr="006E4732" w:rsidRDefault="00653884" w:rsidP="006E4732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 w:rsidR="006E4732" w:rsidRPr="006E4732">
              <w:rPr>
                <w:rFonts w:ascii="宋体" w:hAnsi="宋体" w:hint="eastAsia"/>
                <w:sz w:val="24"/>
                <w:szCs w:val="24"/>
              </w:rPr>
              <w:t>嘉联支付高度重视保护用户隐私信息，在用户隐私权保护方面始终严格遵守国家相关法律法规。嘉联支付接到相关部门监测结果后第一时间进行整改并已连续迭代APP版本至安卓2.0.6版本（目前为安卓2.0.9版本）。针对媒体与网络上有关立刷APP安卓2.0.4版本用户隐私政策的报道，嘉联支付于2019年8月19日在其公众号上发布《嘉联支付关于立刷APP用户隐私政策的声明》，将嘉联支付对监测结果存在问题</w:t>
            </w:r>
            <w:r w:rsidR="00670518">
              <w:rPr>
                <w:rFonts w:ascii="宋体" w:hAnsi="宋体" w:hint="eastAsia"/>
                <w:sz w:val="24"/>
                <w:szCs w:val="24"/>
              </w:rPr>
              <w:t>采取</w:t>
            </w:r>
            <w:r w:rsidR="006E4732" w:rsidRPr="006E4732">
              <w:rPr>
                <w:rFonts w:ascii="宋体" w:hAnsi="宋体" w:hint="eastAsia"/>
                <w:sz w:val="24"/>
                <w:szCs w:val="24"/>
              </w:rPr>
              <w:t>的整改措施及对媒体关于其他隐私权限的疑问回复一一对外公告。主要措施包括默认关闭相关权限、另行设置单独授权确认环节、优化隐私政策提示等。</w:t>
            </w:r>
          </w:p>
          <w:p w:rsidR="006E4732" w:rsidRDefault="006E4732" w:rsidP="006E4732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6E4732">
              <w:rPr>
                <w:rFonts w:ascii="宋体" w:hAnsi="宋体" w:hint="eastAsia"/>
                <w:sz w:val="24"/>
                <w:szCs w:val="24"/>
              </w:rPr>
              <w:t>嘉联支付将继续按照有关方面最新要求不断完善隐私权政策，严格履行相关法律法规规定的责任义务，对获取的个人信息安全负责，采取有效措施加强个人信息保护。</w:t>
            </w:r>
          </w:p>
          <w:p w:rsidR="006E4732" w:rsidRPr="00BA277A" w:rsidRDefault="00653884" w:rsidP="006E4732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  <w:r w:rsidRPr="00BA277A">
              <w:rPr>
                <w:rFonts w:ascii="宋体" w:hAnsi="宋体" w:hint="eastAsia"/>
                <w:b/>
                <w:sz w:val="24"/>
                <w:szCs w:val="24"/>
              </w:rPr>
              <w:t>问：</w:t>
            </w:r>
            <w:r w:rsidR="006E4732" w:rsidRPr="00BA277A">
              <w:rPr>
                <w:rFonts w:ascii="宋体" w:hAnsi="宋体" w:hint="eastAsia"/>
                <w:b/>
                <w:sz w:val="24"/>
                <w:szCs w:val="24"/>
              </w:rPr>
              <w:t>2019年5月30日，新国都审议通过了《关于转让金服技术72%股份暨关联交易的议案》，同意公司分别向持股5%以上股东、副董事长江汉先生、宁波梅山保税港区雄腾煜富投资中心(有限合伙)及深圳市信链投资咨询合伙企业(有限合伙)转让金服技术31%、20%及21%的股权，公司合计转让金服技术72%股权，交易作价合计5</w:t>
            </w:r>
            <w:r w:rsidR="00D230C0">
              <w:rPr>
                <w:rFonts w:ascii="宋体" w:hAnsi="宋体"/>
                <w:b/>
                <w:sz w:val="24"/>
                <w:szCs w:val="24"/>
              </w:rPr>
              <w:t>,</w:t>
            </w:r>
            <w:r w:rsidR="006E4732" w:rsidRPr="00BA277A">
              <w:rPr>
                <w:rFonts w:ascii="宋体" w:hAnsi="宋体" w:hint="eastAsia"/>
                <w:b/>
                <w:sz w:val="24"/>
                <w:szCs w:val="24"/>
              </w:rPr>
              <w:t>760万元。交易各方于2019年5月30日签署了《关于深圳市新国都金服技术有限公司之股权转让协议》。剥离征信公司是否与国内对数据</w:t>
            </w:r>
            <w:r w:rsidR="006E4732" w:rsidRPr="00BA277A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 xml:space="preserve">监管趋严有关？   </w:t>
            </w:r>
          </w:p>
          <w:p w:rsidR="006E4732" w:rsidRPr="003D6EA1" w:rsidRDefault="00653884" w:rsidP="00670518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 w:rsidR="006E4732" w:rsidRPr="006E4732">
              <w:rPr>
                <w:rFonts w:ascii="宋体" w:hAnsi="宋体" w:hint="eastAsia"/>
                <w:sz w:val="24"/>
                <w:szCs w:val="24"/>
              </w:rPr>
              <w:t>本次交易符合公司未来战略规划及遵循互利共赢的原则。基于公司的战略背景，本次交易的实施有助于公司进一步聚焦主业，优化产业结构和资源配置，提升公司核心竞争力；也有助于减轻上市公司的资金投入压力，改善财务状况和盈利能力，促进公司健康长远的发展。本次交易积极推进了金服技术独立发展，有利于优化金服技术的股权结构，有利于引入更多优势资源推动金服技术及其子公司发展，获得更大的业务发展机会和业务空间；其次，金服技术目前处于高速发展阶段，为更好地满足金服技术的资金需求，本次通过转让股权引进战略投资者，为金服技术提供发展所需要的资金支持；同时，也使金服技术管理层和骨干员工与公司利益共享、风险共担，以提高金服技术的治理水平和抗风险能力。</w:t>
            </w:r>
          </w:p>
        </w:tc>
      </w:tr>
      <w:tr w:rsidR="00461FE5" w:rsidTr="0034360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5" w:rsidRDefault="00461FE5" w:rsidP="00343607">
            <w:pPr>
              <w:spacing w:line="480" w:lineRule="atLeast"/>
              <w:rPr>
                <w:rFonts w:asciiTheme="minorEastAsia" w:eastAsiaTheme="minorEastAsia" w:hAnsiTheme="minorEastAsia" w:cstheme="minorEastAsi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iCs/>
                <w:color w:val="00000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5" w:rsidRDefault="00461FE5" w:rsidP="00343607">
            <w:pPr>
              <w:spacing w:line="480" w:lineRule="atLeast"/>
              <w:rPr>
                <w:rFonts w:asciiTheme="minorEastAsia" w:eastAsiaTheme="minorEastAsia" w:hAnsiTheme="minorEastAsia" w:cstheme="minorEastAsi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iCs/>
                <w:color w:val="000000"/>
                <w:sz w:val="24"/>
                <w:szCs w:val="24"/>
              </w:rPr>
              <w:t>无</w:t>
            </w:r>
          </w:p>
        </w:tc>
      </w:tr>
      <w:tr w:rsidR="00461FE5" w:rsidTr="0034360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5" w:rsidRDefault="00461FE5" w:rsidP="00343607">
            <w:pPr>
              <w:spacing w:line="480" w:lineRule="atLeast"/>
              <w:rPr>
                <w:rFonts w:asciiTheme="minorEastAsia" w:eastAsiaTheme="minorEastAsia" w:hAnsiTheme="minorEastAsia" w:cstheme="minorEastAsi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i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5" w:rsidRDefault="004D6012" w:rsidP="00C55740">
            <w:pPr>
              <w:spacing w:line="480" w:lineRule="atLeast"/>
              <w:rPr>
                <w:rFonts w:asciiTheme="minorEastAsia" w:eastAsiaTheme="minorEastAsia" w:hAnsiTheme="minorEastAsia" w:cstheme="minorEastAsi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iCs/>
                <w:color w:val="000000"/>
                <w:sz w:val="24"/>
                <w:szCs w:val="24"/>
              </w:rPr>
              <w:t>201</w:t>
            </w:r>
            <w:r>
              <w:rPr>
                <w:rFonts w:asciiTheme="minorEastAsia" w:eastAsiaTheme="minorEastAsia" w:hAnsiTheme="minorEastAsia" w:cstheme="minorEastAsia"/>
                <w:bCs/>
                <w:iCs/>
                <w:color w:val="000000"/>
                <w:sz w:val="24"/>
                <w:szCs w:val="24"/>
              </w:rPr>
              <w:t>9</w:t>
            </w:r>
            <w:r>
              <w:rPr>
                <w:rFonts w:asciiTheme="minorEastAsia" w:eastAsiaTheme="minorEastAsia" w:hAnsiTheme="minorEastAsia" w:cstheme="minorEastAsia" w:hint="eastAsia"/>
                <w:bCs/>
                <w:iCs/>
                <w:color w:val="000000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theme="minorEastAsia"/>
                <w:bCs/>
                <w:iCs/>
                <w:color w:val="000000"/>
                <w:sz w:val="24"/>
                <w:szCs w:val="24"/>
              </w:rPr>
              <w:t>11</w:t>
            </w:r>
            <w:r w:rsidR="00FC2E99">
              <w:rPr>
                <w:rFonts w:asciiTheme="minorEastAsia" w:eastAsiaTheme="minorEastAsia" w:hAnsiTheme="minorEastAsia" w:cstheme="minorEastAsia"/>
                <w:bCs/>
                <w:iCs/>
                <w:color w:val="000000"/>
                <w:sz w:val="24"/>
                <w:szCs w:val="24"/>
              </w:rPr>
              <w:t>月</w:t>
            </w:r>
            <w:r w:rsidR="00C55740">
              <w:rPr>
                <w:rFonts w:asciiTheme="minorEastAsia" w:eastAsiaTheme="minorEastAsia" w:hAnsiTheme="minorEastAsia" w:cstheme="minorEastAsia"/>
                <w:bCs/>
                <w:iCs/>
                <w:color w:val="000000"/>
                <w:sz w:val="24"/>
                <w:szCs w:val="24"/>
              </w:rPr>
              <w:t>1</w:t>
            </w:r>
            <w:r w:rsidR="00C55740">
              <w:rPr>
                <w:rFonts w:asciiTheme="minorEastAsia" w:eastAsiaTheme="minorEastAsia" w:hAnsiTheme="minorEastAsia" w:cstheme="minorEastAsia"/>
                <w:bCs/>
                <w:iCs/>
                <w:color w:val="000000"/>
                <w:sz w:val="24"/>
                <w:szCs w:val="24"/>
              </w:rPr>
              <w:t>4</w:t>
            </w:r>
            <w:r w:rsidR="00FC2E99">
              <w:rPr>
                <w:rFonts w:asciiTheme="minorEastAsia" w:eastAsiaTheme="minorEastAsia" w:hAnsiTheme="minorEastAsia" w:cstheme="minorEastAsia" w:hint="eastAsia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</w:tbl>
    <w:p w:rsidR="00741A82" w:rsidRDefault="00741A82">
      <w:bookmarkStart w:id="0" w:name="_GoBack"/>
      <w:bookmarkEnd w:id="0"/>
    </w:p>
    <w:sectPr w:rsidR="00741A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161" w:rsidRDefault="00955161" w:rsidP="00461FE5">
      <w:r>
        <w:separator/>
      </w:r>
    </w:p>
  </w:endnote>
  <w:endnote w:type="continuationSeparator" w:id="0">
    <w:p w:rsidR="00955161" w:rsidRDefault="00955161" w:rsidP="0046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161" w:rsidRDefault="00955161" w:rsidP="00461FE5">
      <w:r>
        <w:separator/>
      </w:r>
    </w:p>
  </w:footnote>
  <w:footnote w:type="continuationSeparator" w:id="0">
    <w:p w:rsidR="00955161" w:rsidRDefault="00955161" w:rsidP="0046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92"/>
    <w:rsid w:val="00004B5D"/>
    <w:rsid w:val="00061F58"/>
    <w:rsid w:val="00084752"/>
    <w:rsid w:val="000B03B9"/>
    <w:rsid w:val="00121AED"/>
    <w:rsid w:val="00136A4E"/>
    <w:rsid w:val="00183C09"/>
    <w:rsid w:val="001A4C3F"/>
    <w:rsid w:val="001B1AD8"/>
    <w:rsid w:val="00221B83"/>
    <w:rsid w:val="0026732D"/>
    <w:rsid w:val="002B4954"/>
    <w:rsid w:val="002F13AB"/>
    <w:rsid w:val="00343607"/>
    <w:rsid w:val="003B59B9"/>
    <w:rsid w:val="003D6EA1"/>
    <w:rsid w:val="00461FE5"/>
    <w:rsid w:val="00490FB0"/>
    <w:rsid w:val="004C53A2"/>
    <w:rsid w:val="004D6012"/>
    <w:rsid w:val="005E200D"/>
    <w:rsid w:val="0062408A"/>
    <w:rsid w:val="00653884"/>
    <w:rsid w:val="00670518"/>
    <w:rsid w:val="0069048C"/>
    <w:rsid w:val="00693EFE"/>
    <w:rsid w:val="00694F7C"/>
    <w:rsid w:val="006E033E"/>
    <w:rsid w:val="006E4732"/>
    <w:rsid w:val="00740B53"/>
    <w:rsid w:val="00741A82"/>
    <w:rsid w:val="00766A1F"/>
    <w:rsid w:val="007922C6"/>
    <w:rsid w:val="008825C3"/>
    <w:rsid w:val="00887E22"/>
    <w:rsid w:val="009159E8"/>
    <w:rsid w:val="00946F92"/>
    <w:rsid w:val="00955161"/>
    <w:rsid w:val="0096395F"/>
    <w:rsid w:val="00982EF6"/>
    <w:rsid w:val="009A1C5E"/>
    <w:rsid w:val="009D03A2"/>
    <w:rsid w:val="009E2AF4"/>
    <w:rsid w:val="00A078A9"/>
    <w:rsid w:val="00B43B92"/>
    <w:rsid w:val="00BA277A"/>
    <w:rsid w:val="00BE03C1"/>
    <w:rsid w:val="00C01639"/>
    <w:rsid w:val="00C10CF5"/>
    <w:rsid w:val="00C44D15"/>
    <w:rsid w:val="00C54925"/>
    <w:rsid w:val="00C55740"/>
    <w:rsid w:val="00C55AFD"/>
    <w:rsid w:val="00C63115"/>
    <w:rsid w:val="00C714E0"/>
    <w:rsid w:val="00CB2699"/>
    <w:rsid w:val="00CC71DF"/>
    <w:rsid w:val="00D22126"/>
    <w:rsid w:val="00D230C0"/>
    <w:rsid w:val="00D305A7"/>
    <w:rsid w:val="00D31543"/>
    <w:rsid w:val="00D76264"/>
    <w:rsid w:val="00DC01B2"/>
    <w:rsid w:val="00DC137E"/>
    <w:rsid w:val="00E0385C"/>
    <w:rsid w:val="00E11487"/>
    <w:rsid w:val="00E53B21"/>
    <w:rsid w:val="00E75993"/>
    <w:rsid w:val="00E82C9D"/>
    <w:rsid w:val="00E90C36"/>
    <w:rsid w:val="00EA6C24"/>
    <w:rsid w:val="00F3504C"/>
    <w:rsid w:val="00F36705"/>
    <w:rsid w:val="00F90B0D"/>
    <w:rsid w:val="00FA1045"/>
    <w:rsid w:val="00FC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0FB778-A690-4FF0-8F1D-A8BD286D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FE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1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1F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1F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1FE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83C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3C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王颖欣</dc:creator>
  <cp:keywords/>
  <dc:description/>
  <cp:lastModifiedBy>梁家兰</cp:lastModifiedBy>
  <cp:revision>14</cp:revision>
  <cp:lastPrinted>2019-11-15T06:46:00Z</cp:lastPrinted>
  <dcterms:created xsi:type="dcterms:W3CDTF">2019-06-17T11:59:00Z</dcterms:created>
  <dcterms:modified xsi:type="dcterms:W3CDTF">2019-11-15T07:49:00Z</dcterms:modified>
</cp:coreProperties>
</file>