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76" w:rsidRPr="00F7661A" w:rsidRDefault="00DD5576" w:rsidP="00526A56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002912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sz w:val="24"/>
        </w:rPr>
        <w:t xml:space="preserve">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中新赛克</w:t>
      </w:r>
    </w:p>
    <w:p w:rsidR="00052561" w:rsidRDefault="00052561" w:rsidP="00526A5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DD5576" w:rsidRPr="00F7661A" w:rsidRDefault="00DD5576" w:rsidP="00526A5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深圳市中新赛克科技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DD5576" w:rsidRPr="00F7661A" w:rsidRDefault="00DD5576" w:rsidP="00DD5576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354BDE">
        <w:rPr>
          <w:rFonts w:ascii="宋体" w:hAnsi="宋体"/>
          <w:bCs/>
          <w:iCs/>
          <w:sz w:val="24"/>
          <w:szCs w:val="24"/>
        </w:rPr>
        <w:t xml:space="preserve"> </w:t>
      </w:r>
      <w:r w:rsidRPr="00052561">
        <w:rPr>
          <w:rFonts w:ascii="宋体" w:hAnsi="宋体" w:hint="eastAsia"/>
          <w:bCs/>
          <w:iCs/>
          <w:sz w:val="24"/>
          <w:szCs w:val="24"/>
        </w:rPr>
        <w:t>编号：</w:t>
      </w:r>
      <w:r w:rsidR="007D08E6" w:rsidRPr="00052561">
        <w:rPr>
          <w:rFonts w:ascii="宋体" w:hAnsi="宋体" w:hint="eastAsia"/>
          <w:bCs/>
          <w:iCs/>
          <w:kern w:val="0"/>
          <w:sz w:val="24"/>
          <w:szCs w:val="24"/>
        </w:rPr>
        <w:t>201</w:t>
      </w:r>
      <w:r w:rsidR="00B83498" w:rsidRPr="00052561">
        <w:rPr>
          <w:rFonts w:ascii="宋体" w:hAnsi="宋体" w:hint="eastAsia"/>
          <w:bCs/>
          <w:iCs/>
          <w:kern w:val="0"/>
          <w:sz w:val="24"/>
          <w:szCs w:val="24"/>
        </w:rPr>
        <w:t>9</w:t>
      </w:r>
      <w:r w:rsidR="007D08E6" w:rsidRPr="00052561">
        <w:rPr>
          <w:rFonts w:ascii="宋体" w:hAnsi="宋体" w:hint="eastAsia"/>
          <w:bCs/>
          <w:iCs/>
          <w:kern w:val="0"/>
          <w:sz w:val="24"/>
          <w:szCs w:val="24"/>
        </w:rPr>
        <w:t>-</w:t>
      </w:r>
      <w:r w:rsidR="005902E4">
        <w:rPr>
          <w:rFonts w:ascii="宋体" w:hAnsi="宋体" w:hint="eastAsia"/>
          <w:bCs/>
          <w:iCs/>
          <w:kern w:val="0"/>
          <w:sz w:val="24"/>
          <w:szCs w:val="24"/>
        </w:rPr>
        <w:t>0</w:t>
      </w:r>
      <w:r w:rsidR="005902E4">
        <w:rPr>
          <w:rFonts w:ascii="宋体" w:hAnsi="宋体"/>
          <w:bCs/>
          <w:iCs/>
          <w:kern w:val="0"/>
          <w:sz w:val="24"/>
          <w:szCs w:val="24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D5576" w:rsidRPr="00F7661A" w:rsidTr="005A5C8C">
        <w:tc>
          <w:tcPr>
            <w:tcW w:w="1908" w:type="dxa"/>
            <w:shd w:val="clear" w:color="auto" w:fill="auto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D5576" w:rsidRPr="00F7661A" w:rsidRDefault="00C12294" w:rsidP="005A5C8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="00DD5576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DD5576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D5576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D5576" w:rsidRPr="00F7661A" w:rsidRDefault="00DD5576" w:rsidP="005A5C8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D5576" w:rsidRPr="00F7661A" w:rsidRDefault="00DD5576" w:rsidP="005A5C8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D5576" w:rsidRPr="00F7661A" w:rsidTr="005A5C8C">
        <w:tc>
          <w:tcPr>
            <w:tcW w:w="1908" w:type="dxa"/>
            <w:shd w:val="clear" w:color="auto" w:fill="auto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C12294" w:rsidRPr="00C12294" w:rsidRDefault="00526A56" w:rsidP="00885DF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申万宏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源 朱型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526A56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中国人寿养老 </w:t>
            </w:r>
            <w:proofErr w:type="gramStart"/>
            <w:r w:rsidRPr="00526A56">
              <w:rPr>
                <w:rFonts w:ascii="宋体" w:hAnsi="宋体" w:hint="eastAsia"/>
                <w:bCs/>
                <w:iCs/>
                <w:sz w:val="24"/>
                <w:szCs w:val="24"/>
              </w:rPr>
              <w:t>吴庚辛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睿远基金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胡大林；太平资产 邵军</w:t>
            </w:r>
          </w:p>
        </w:tc>
      </w:tr>
      <w:tr w:rsidR="00DD5576" w:rsidRPr="00F7661A" w:rsidTr="005A5C8C">
        <w:tc>
          <w:tcPr>
            <w:tcW w:w="1908" w:type="dxa"/>
            <w:shd w:val="clear" w:color="auto" w:fill="auto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DD5576" w:rsidRPr="00885DF5" w:rsidRDefault="00B83498" w:rsidP="005C4EC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85DF5"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Pr="00885DF5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885DF5">
              <w:rPr>
                <w:rFonts w:ascii="宋体" w:hAnsi="宋体"/>
                <w:bCs/>
                <w:iCs/>
                <w:sz w:val="24"/>
                <w:szCs w:val="24"/>
              </w:rPr>
              <w:t>年</w:t>
            </w:r>
            <w:r w:rsidR="005C4EC6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Pr="00885DF5">
              <w:rPr>
                <w:rFonts w:ascii="宋体" w:hAnsi="宋体"/>
                <w:bCs/>
                <w:iCs/>
                <w:sz w:val="24"/>
                <w:szCs w:val="24"/>
              </w:rPr>
              <w:t>月</w:t>
            </w:r>
            <w:r w:rsidR="005C4EC6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0B1CC2" w:rsidRPr="00885DF5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Pr="00885DF5">
              <w:rPr>
                <w:rFonts w:ascii="宋体" w:hAnsi="宋体"/>
                <w:bCs/>
                <w:iCs/>
                <w:sz w:val="24"/>
                <w:szCs w:val="24"/>
              </w:rPr>
              <w:t>日</w:t>
            </w:r>
            <w:r w:rsidRPr="00885DF5">
              <w:rPr>
                <w:rFonts w:ascii="宋体" w:hAnsi="宋体" w:hint="eastAsia"/>
                <w:bCs/>
                <w:iCs/>
                <w:sz w:val="24"/>
                <w:szCs w:val="24"/>
              </w:rPr>
              <w:t>上午10:00</w:t>
            </w:r>
          </w:p>
        </w:tc>
        <w:bookmarkStart w:id="0" w:name="_GoBack"/>
        <w:bookmarkEnd w:id="0"/>
      </w:tr>
      <w:tr w:rsidR="00DD5576" w:rsidRPr="00F7661A" w:rsidTr="005A5C8C">
        <w:tc>
          <w:tcPr>
            <w:tcW w:w="1908" w:type="dxa"/>
            <w:shd w:val="clear" w:color="auto" w:fill="auto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DD5576" w:rsidRPr="00F7661A" w:rsidRDefault="007D08E6" w:rsidP="00B8349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南京中新赛克科技有限责任公司</w:t>
            </w:r>
            <w:r w:rsidR="00B8349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五楼办公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室</w:t>
            </w:r>
          </w:p>
        </w:tc>
      </w:tr>
      <w:tr w:rsidR="00DD5576" w:rsidRPr="00F7661A" w:rsidTr="005A5C8C">
        <w:tc>
          <w:tcPr>
            <w:tcW w:w="1908" w:type="dxa"/>
            <w:shd w:val="clear" w:color="auto" w:fill="auto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DD5576" w:rsidRPr="00F7661A" w:rsidRDefault="007D08E6" w:rsidP="005C4EC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5C4EC6"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</w:t>
            </w:r>
            <w:r w:rsidR="005C4EC6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董事会秘书：李斌</w:t>
            </w:r>
          </w:p>
        </w:tc>
      </w:tr>
      <w:tr w:rsidR="00DD5576" w:rsidRPr="00514EA9" w:rsidTr="00E72782">
        <w:trPr>
          <w:trHeight w:val="558"/>
        </w:trPr>
        <w:tc>
          <w:tcPr>
            <w:tcW w:w="1908" w:type="dxa"/>
            <w:shd w:val="clear" w:color="auto" w:fill="auto"/>
            <w:vAlign w:val="center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7D08E6" w:rsidRDefault="007D08E6" w:rsidP="00526A56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互动问答：</w:t>
            </w:r>
          </w:p>
          <w:p w:rsidR="00F07B15" w:rsidRDefault="00514EA9" w:rsidP="00526A56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</w:t>
            </w:r>
            <w:r w:rsidR="00AE7D7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公司的</w:t>
            </w:r>
            <w:r w:rsidR="005C4E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经营情况</w:t>
            </w:r>
            <w:r w:rsidR="00AE7D7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A1E1E" w:rsidRDefault="00AE7D78" w:rsidP="00526A56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答</w:t>
            </w:r>
            <w:r w:rsidRPr="00AE7D7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CA1E1E" w:rsidRP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公司专注于数据提取、数据融合计算及在信息安全等领域的应用，主营业务为网络可视化基础架构、网络内容安全、大数据运营等产品的研发、生产和销售，以及相关产品的安装、调试和培训等技术服务，为政府、运营商、企事业单位等提供产品和服务。</w:t>
            </w:r>
          </w:p>
          <w:p w:rsidR="00CA1E1E" w:rsidRDefault="00CA1E1E" w:rsidP="00526A5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2019年1-9月，</w:t>
            </w:r>
            <w:r w:rsidRPr="00274522">
              <w:rPr>
                <w:rFonts w:ascii="宋体" w:hAnsi="宋体" w:cs="宋体" w:hint="eastAsia"/>
                <w:sz w:val="24"/>
              </w:rPr>
              <w:t>公司实现</w:t>
            </w:r>
            <w:r>
              <w:rPr>
                <w:rFonts w:ascii="宋体" w:hAnsi="宋体" w:cs="宋体" w:hint="eastAsia"/>
                <w:sz w:val="24"/>
              </w:rPr>
              <w:t>营业</w:t>
            </w:r>
            <w:r w:rsidRPr="00274522">
              <w:rPr>
                <w:rFonts w:ascii="宋体" w:hAnsi="宋体" w:cs="宋体" w:hint="eastAsia"/>
                <w:sz w:val="24"/>
              </w:rPr>
              <w:t>收入</w:t>
            </w:r>
            <w:r w:rsidRPr="00CA1E1E">
              <w:rPr>
                <w:rFonts w:ascii="宋体" w:hAnsi="宋体" w:cs="宋体"/>
                <w:sz w:val="24"/>
              </w:rPr>
              <w:t>61</w:t>
            </w:r>
            <w:r>
              <w:rPr>
                <w:rFonts w:ascii="宋体" w:hAnsi="宋体" w:cs="宋体"/>
                <w:sz w:val="24"/>
              </w:rPr>
              <w:t>,0</w:t>
            </w:r>
            <w:r w:rsidRPr="00CA1E1E">
              <w:rPr>
                <w:rFonts w:ascii="宋体" w:hAnsi="宋体" w:cs="宋体"/>
                <w:sz w:val="24"/>
              </w:rPr>
              <w:t>47</w:t>
            </w:r>
            <w:r>
              <w:rPr>
                <w:rFonts w:ascii="宋体" w:hAnsi="宋体" w:cs="宋体"/>
                <w:sz w:val="24"/>
              </w:rPr>
              <w:t>.3</w:t>
            </w:r>
            <w:r w:rsidRPr="00CA1E1E">
              <w:rPr>
                <w:rFonts w:ascii="宋体" w:hAnsi="宋体" w:cs="宋体"/>
                <w:sz w:val="24"/>
              </w:rPr>
              <w:t>1</w:t>
            </w:r>
            <w:r w:rsidRPr="00274522">
              <w:rPr>
                <w:rFonts w:ascii="宋体" w:hAnsi="宋体" w:cs="宋体" w:hint="eastAsia"/>
                <w:sz w:val="24"/>
              </w:rPr>
              <w:t>万元，较上年同期增长</w:t>
            </w:r>
            <w:r w:rsidRPr="00CA1E1E">
              <w:rPr>
                <w:rFonts w:ascii="宋体" w:hAnsi="宋体" w:cs="宋体"/>
                <w:sz w:val="24"/>
              </w:rPr>
              <w:t>28.51%</w:t>
            </w:r>
            <w:r w:rsidRPr="00274522">
              <w:rPr>
                <w:rFonts w:ascii="宋体" w:hAnsi="宋体" w:cs="宋体" w:hint="eastAsia"/>
                <w:sz w:val="24"/>
              </w:rPr>
              <w:t>；归属于上市公司股东的扣除非经常性损益的净利润为</w:t>
            </w:r>
            <w:r w:rsidRPr="00CA1E1E">
              <w:rPr>
                <w:rFonts w:ascii="宋体" w:hAnsi="宋体" w:cs="宋体"/>
                <w:sz w:val="24"/>
              </w:rPr>
              <w:t>17</w:t>
            </w:r>
            <w:r>
              <w:rPr>
                <w:rFonts w:ascii="宋体" w:hAnsi="宋体" w:cs="宋体" w:hint="eastAsia"/>
                <w:sz w:val="24"/>
              </w:rPr>
              <w:t>,</w:t>
            </w:r>
            <w:r w:rsidRPr="00CA1E1E">
              <w:rPr>
                <w:rFonts w:ascii="宋体" w:hAnsi="宋体" w:cs="宋体"/>
                <w:sz w:val="24"/>
              </w:rPr>
              <w:t>257</w:t>
            </w:r>
            <w:r>
              <w:rPr>
                <w:rFonts w:ascii="宋体" w:hAnsi="宋体" w:cs="宋体"/>
                <w:sz w:val="24"/>
              </w:rPr>
              <w:t>.96</w:t>
            </w:r>
            <w:r w:rsidRPr="00274522">
              <w:rPr>
                <w:rFonts w:ascii="宋体" w:hAnsi="宋体" w:cs="宋体" w:hint="eastAsia"/>
                <w:sz w:val="24"/>
              </w:rPr>
              <w:t>万元，较上年同期增长</w:t>
            </w:r>
            <w:r w:rsidRPr="00CA1E1E">
              <w:rPr>
                <w:rFonts w:ascii="宋体" w:hAnsi="宋体" w:cs="宋体"/>
                <w:sz w:val="24"/>
              </w:rPr>
              <w:t>14.79%</w:t>
            </w:r>
            <w:r w:rsidRPr="00274522">
              <w:rPr>
                <w:rFonts w:ascii="宋体" w:hAnsi="宋体" w:cs="宋体" w:hint="eastAsia"/>
                <w:sz w:val="24"/>
              </w:rPr>
              <w:t>。主要系</w:t>
            </w:r>
            <w:r w:rsidRPr="00374404">
              <w:rPr>
                <w:rFonts w:hint="eastAsia"/>
                <w:sz w:val="24"/>
              </w:rPr>
              <w:t>宽带网产品</w:t>
            </w:r>
            <w:r w:rsidRPr="00CD04C9">
              <w:rPr>
                <w:rFonts w:hint="eastAsia"/>
                <w:sz w:val="24"/>
              </w:rPr>
              <w:t>销售收入较上年同期增长较多</w:t>
            </w:r>
            <w:r>
              <w:rPr>
                <w:rFonts w:hint="eastAsia"/>
                <w:sz w:val="24"/>
              </w:rPr>
              <w:t>以及</w:t>
            </w:r>
            <w:r w:rsidRPr="00CD04C9">
              <w:rPr>
                <w:rFonts w:hint="eastAsia"/>
                <w:sz w:val="24"/>
              </w:rPr>
              <w:t>持续加大研</w:t>
            </w:r>
            <w:r>
              <w:rPr>
                <w:rFonts w:hint="eastAsia"/>
                <w:sz w:val="24"/>
              </w:rPr>
              <w:t>发投入，进一步发挥产品协同效应，并在相关细分行业取</w:t>
            </w:r>
            <w:r>
              <w:rPr>
                <w:rFonts w:hint="eastAsia"/>
                <w:sz w:val="24"/>
              </w:rPr>
              <w:lastRenderedPageBreak/>
              <w:t>得良好的成效</w:t>
            </w:r>
            <w:r w:rsidRPr="00274522">
              <w:rPr>
                <w:rFonts w:ascii="宋体" w:hAnsi="宋体" w:cs="宋体" w:hint="eastAsia"/>
                <w:sz w:val="24"/>
              </w:rPr>
              <w:t>。</w:t>
            </w:r>
          </w:p>
          <w:p w:rsidR="00AE7D78" w:rsidRPr="003A3063" w:rsidRDefault="00AE7D78" w:rsidP="00526A56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A306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2、</w:t>
            </w:r>
            <w:r w:rsidR="0039292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公司股东</w:t>
            </w:r>
            <w:r w:rsidR="00CA1E1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因纽特减</w:t>
            </w:r>
            <w:proofErr w:type="gramStart"/>
            <w:r w:rsidR="00CA1E1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持</w:t>
            </w:r>
            <w:r w:rsidR="00CA1E1E">
              <w:rPr>
                <w:rFonts w:ascii="宋体" w:hAnsi="宋体"/>
                <w:b/>
                <w:bCs/>
                <w:iCs/>
                <w:sz w:val="24"/>
                <w:szCs w:val="24"/>
              </w:rPr>
              <w:t>进展</w:t>
            </w:r>
            <w:proofErr w:type="gramEnd"/>
            <w:r w:rsidR="00CA1E1E">
              <w:rPr>
                <w:rFonts w:ascii="宋体" w:hAnsi="宋体"/>
                <w:b/>
                <w:bCs/>
                <w:iCs/>
                <w:sz w:val="24"/>
                <w:szCs w:val="24"/>
              </w:rPr>
              <w:t>情况</w:t>
            </w:r>
            <w:r w:rsidR="003A3063" w:rsidRPr="003A306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3A3063" w:rsidRDefault="003A3063" w:rsidP="00526A56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306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答：</w:t>
            </w:r>
            <w:r w:rsid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公司2019年4月16日</w:t>
            </w:r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披露了</w:t>
            </w:r>
            <w:r w:rsid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股东因纽特</w:t>
            </w:r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的减持计划，截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至</w:t>
            </w:r>
            <w:r w:rsid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2019年11月13日</w:t>
            </w:r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，该减</w:t>
            </w:r>
            <w:proofErr w:type="gramStart"/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持计划</w:t>
            </w:r>
            <w:proofErr w:type="gramEnd"/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已实施完毕，股东因纽特共减持</w:t>
            </w:r>
            <w:r w:rsid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150.409</w:t>
            </w:r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万</w:t>
            </w:r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股，占公司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总股份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CA1E1E">
              <w:rPr>
                <w:rFonts w:ascii="宋体" w:hAnsi="宋体" w:hint="eastAsia"/>
                <w:bCs/>
                <w:iCs/>
                <w:sz w:val="24"/>
                <w:szCs w:val="24"/>
              </w:rPr>
              <w:t>1.4094</w:t>
            </w:r>
            <w:r w:rsidR="00CA1E1E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，详细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情况可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参照公司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相关公告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同时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因纽特后续减</w:t>
            </w:r>
            <w:proofErr w:type="gramStart"/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持过程</w:t>
            </w:r>
            <w:proofErr w:type="gramEnd"/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中，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将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继续按照相关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法律法规及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其承诺情况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及时</w:t>
            </w:r>
            <w:r w:rsidR="00775D7B">
              <w:rPr>
                <w:rFonts w:ascii="宋体" w:hAnsi="宋体" w:hint="eastAsia"/>
                <w:bCs/>
                <w:iCs/>
                <w:sz w:val="24"/>
                <w:szCs w:val="24"/>
              </w:rPr>
              <w:t>履行</w:t>
            </w:r>
            <w:r w:rsidR="00775D7B">
              <w:rPr>
                <w:rFonts w:ascii="宋体" w:hAnsi="宋体"/>
                <w:bCs/>
                <w:iCs/>
                <w:sz w:val="24"/>
                <w:szCs w:val="24"/>
              </w:rPr>
              <w:t>披露义务。</w:t>
            </w:r>
          </w:p>
          <w:p w:rsidR="00E66517" w:rsidRPr="00D31FD2" w:rsidRDefault="00E66517" w:rsidP="00526A56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D31FD2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 w:rsidRPr="00D31F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、公司</w:t>
            </w:r>
            <w:r w:rsidR="00DB060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网络内容</w:t>
            </w:r>
            <w:r w:rsidR="00DB060D">
              <w:rPr>
                <w:rFonts w:ascii="宋体" w:hAnsi="宋体"/>
                <w:b/>
                <w:bCs/>
                <w:iCs/>
                <w:sz w:val="24"/>
                <w:szCs w:val="24"/>
              </w:rPr>
              <w:t>安全</w:t>
            </w:r>
            <w:r w:rsidR="003F30A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产品</w:t>
            </w:r>
            <w:r w:rsidR="003173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</w:t>
            </w:r>
            <w:r w:rsidR="009E1FC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发展</w:t>
            </w:r>
            <w:r w:rsidR="001F1A0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</w:t>
            </w:r>
            <w:r w:rsidRPr="00D31F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E66517" w:rsidRDefault="00E66517" w:rsidP="00526A56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66517">
              <w:rPr>
                <w:rFonts w:ascii="宋体" w:hAnsi="宋体"/>
                <w:b/>
                <w:bCs/>
                <w:iCs/>
                <w:sz w:val="24"/>
                <w:szCs w:val="24"/>
              </w:rPr>
              <w:t>答</w:t>
            </w:r>
            <w:r w:rsidRPr="00E6651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：</w:t>
            </w:r>
            <w:r w:rsidR="00DB060D" w:rsidRP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网络内容安全产品在实时流量管控和新型、难点流量特征识别方面取得关键性进展，提升了网络内容安全的管控能力</w:t>
            </w:r>
            <w:r w:rsid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；同时</w:t>
            </w:r>
            <w:r w:rsidR="00DB060D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DB060D" w:rsidRP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结合人工智能深度挖掘技术，继续升级电信诈骗防范系统，形成了电信诈骗防范系统从前端流量</w:t>
            </w:r>
            <w:proofErr w:type="gramStart"/>
            <w:r w:rsidR="00DB060D" w:rsidRP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管控到后端</w:t>
            </w:r>
            <w:proofErr w:type="gramEnd"/>
            <w:r w:rsidR="00DB060D" w:rsidRP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综合分析系统的整体解决方案，推出多维综合反诈系统，优化产品功能，丰富诈骗防范手段，提升</w:t>
            </w:r>
            <w:r w:rsid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DB060D" w:rsidRPr="00DB060D">
              <w:rPr>
                <w:rFonts w:ascii="宋体" w:hAnsi="宋体" w:hint="eastAsia"/>
                <w:bCs/>
                <w:iCs/>
                <w:sz w:val="24"/>
                <w:szCs w:val="24"/>
              </w:rPr>
              <w:t>产品的市场竞争力。</w:t>
            </w:r>
          </w:p>
          <w:p w:rsidR="0031737E" w:rsidRPr="00F77381" w:rsidRDefault="0031737E" w:rsidP="00526A56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</w:t>
            </w:r>
            <w:r w:rsidRPr="00F7738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、公司</w:t>
            </w:r>
            <w:r w:rsidR="00ED4F1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未来业绩</w:t>
            </w:r>
            <w:r w:rsidR="00ED4F15">
              <w:rPr>
                <w:rFonts w:ascii="宋体" w:hAnsi="宋体"/>
                <w:b/>
                <w:bCs/>
                <w:iCs/>
                <w:sz w:val="24"/>
                <w:szCs w:val="24"/>
              </w:rPr>
              <w:t>的增长点</w:t>
            </w:r>
            <w:r w:rsidRPr="00F7738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574350" w:rsidRPr="0031737E" w:rsidRDefault="0031737E" w:rsidP="00526A56">
            <w:pPr>
              <w:spacing w:beforeLines="50" w:before="156" w:afterLines="50" w:after="156"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173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答：</w:t>
            </w:r>
            <w:r w:rsidR="00ED4F15" w:rsidRPr="00ED4F15">
              <w:rPr>
                <w:rFonts w:ascii="宋体" w:hAnsi="宋体" w:hint="eastAsia"/>
                <w:bCs/>
                <w:iCs/>
                <w:sz w:val="24"/>
                <w:szCs w:val="24"/>
              </w:rPr>
              <w:t>一方面是随着互联网、通信网流量持续增加，网络可视化前端设备的需求也会保持持续增长；另一方面公司在网络可视化后端产品的研发和销售经过几年的铺垫，已经逐步形成规模销售。</w:t>
            </w:r>
          </w:p>
        </w:tc>
      </w:tr>
      <w:tr w:rsidR="00DD5576" w:rsidRPr="00F7661A" w:rsidTr="005A5C8C">
        <w:tc>
          <w:tcPr>
            <w:tcW w:w="1908" w:type="dxa"/>
            <w:shd w:val="clear" w:color="auto" w:fill="auto"/>
            <w:vAlign w:val="center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DD5576" w:rsidRPr="00F7661A" w:rsidTr="005A5C8C">
        <w:tc>
          <w:tcPr>
            <w:tcW w:w="1908" w:type="dxa"/>
            <w:shd w:val="clear" w:color="auto" w:fill="auto"/>
            <w:vAlign w:val="center"/>
          </w:tcPr>
          <w:p w:rsidR="00DD5576" w:rsidRPr="00F7661A" w:rsidRDefault="00DD5576" w:rsidP="005A5C8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C12294" w:rsidRPr="00F7661A" w:rsidRDefault="000A06A8" w:rsidP="009E1FC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年</w:t>
            </w:r>
            <w:r w:rsidR="009E1FCC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月</w:t>
            </w:r>
            <w:r w:rsidR="009E1FC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31737E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0A1FD4" w:rsidRDefault="000A1FD4"/>
    <w:sectPr w:rsidR="000A1FD4" w:rsidSect="000A1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9D" w:rsidRDefault="0042719D" w:rsidP="00DD5576">
      <w:r>
        <w:separator/>
      </w:r>
    </w:p>
  </w:endnote>
  <w:endnote w:type="continuationSeparator" w:id="0">
    <w:p w:rsidR="0042719D" w:rsidRDefault="0042719D" w:rsidP="00DD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9D" w:rsidRDefault="0042719D" w:rsidP="00DD5576">
      <w:r>
        <w:separator/>
      </w:r>
    </w:p>
  </w:footnote>
  <w:footnote w:type="continuationSeparator" w:id="0">
    <w:p w:rsidR="0042719D" w:rsidRDefault="0042719D" w:rsidP="00DD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576"/>
    <w:rsid w:val="00010F39"/>
    <w:rsid w:val="00034038"/>
    <w:rsid w:val="00052561"/>
    <w:rsid w:val="000A06A8"/>
    <w:rsid w:val="000A1FD4"/>
    <w:rsid w:val="000B1CC2"/>
    <w:rsid w:val="00143AB8"/>
    <w:rsid w:val="001C5957"/>
    <w:rsid w:val="001E1B1F"/>
    <w:rsid w:val="001F102A"/>
    <w:rsid w:val="001F1A0F"/>
    <w:rsid w:val="00225B6A"/>
    <w:rsid w:val="002F58FF"/>
    <w:rsid w:val="0031737E"/>
    <w:rsid w:val="003360F3"/>
    <w:rsid w:val="00354BDE"/>
    <w:rsid w:val="00392926"/>
    <w:rsid w:val="003A3063"/>
    <w:rsid w:val="003F30AD"/>
    <w:rsid w:val="0042719D"/>
    <w:rsid w:val="004A2753"/>
    <w:rsid w:val="00514EA9"/>
    <w:rsid w:val="00526A56"/>
    <w:rsid w:val="00552C93"/>
    <w:rsid w:val="00574350"/>
    <w:rsid w:val="005902E4"/>
    <w:rsid w:val="005A1931"/>
    <w:rsid w:val="005A5C8C"/>
    <w:rsid w:val="005C1315"/>
    <w:rsid w:val="005C4EC6"/>
    <w:rsid w:val="005D1BDB"/>
    <w:rsid w:val="005F5E8F"/>
    <w:rsid w:val="006004F3"/>
    <w:rsid w:val="0062120E"/>
    <w:rsid w:val="006D3601"/>
    <w:rsid w:val="00720A09"/>
    <w:rsid w:val="007259F1"/>
    <w:rsid w:val="00773C3A"/>
    <w:rsid w:val="00775D7B"/>
    <w:rsid w:val="007A28D5"/>
    <w:rsid w:val="007D08E6"/>
    <w:rsid w:val="007E4F76"/>
    <w:rsid w:val="008664B5"/>
    <w:rsid w:val="00885DF5"/>
    <w:rsid w:val="008B15AF"/>
    <w:rsid w:val="008D5409"/>
    <w:rsid w:val="009846A3"/>
    <w:rsid w:val="009847C7"/>
    <w:rsid w:val="009953C8"/>
    <w:rsid w:val="009E1FCC"/>
    <w:rsid w:val="009E4B9B"/>
    <w:rsid w:val="00A55170"/>
    <w:rsid w:val="00AA7994"/>
    <w:rsid w:val="00AC0AAD"/>
    <w:rsid w:val="00AE7D78"/>
    <w:rsid w:val="00B476BA"/>
    <w:rsid w:val="00B83498"/>
    <w:rsid w:val="00B972DF"/>
    <w:rsid w:val="00C12294"/>
    <w:rsid w:val="00C34C36"/>
    <w:rsid w:val="00C422B7"/>
    <w:rsid w:val="00C77447"/>
    <w:rsid w:val="00CA1E1E"/>
    <w:rsid w:val="00CA5349"/>
    <w:rsid w:val="00CE2A86"/>
    <w:rsid w:val="00CE5093"/>
    <w:rsid w:val="00D3640E"/>
    <w:rsid w:val="00DB060D"/>
    <w:rsid w:val="00DD5576"/>
    <w:rsid w:val="00E002CC"/>
    <w:rsid w:val="00E66517"/>
    <w:rsid w:val="00E72782"/>
    <w:rsid w:val="00EA4764"/>
    <w:rsid w:val="00ED3A14"/>
    <w:rsid w:val="00ED4F15"/>
    <w:rsid w:val="00F07B15"/>
    <w:rsid w:val="00F32E8B"/>
    <w:rsid w:val="00FC3526"/>
    <w:rsid w:val="00FE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BCC9"/>
  <w15:docId w15:val="{CEAFE6B8-22AD-4681-9CBD-133AF0B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55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5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576"/>
    <w:rPr>
      <w:sz w:val="18"/>
      <w:szCs w:val="18"/>
    </w:rPr>
  </w:style>
  <w:style w:type="paragraph" w:styleId="a7">
    <w:name w:val="List Paragraph"/>
    <w:basedOn w:val="a"/>
    <w:uiPriority w:val="34"/>
    <w:qFormat/>
    <w:rsid w:val="00DD557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A5C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5C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171</Words>
  <Characters>975</Characters>
  <Application>Microsoft Office Word</Application>
  <DocSecurity>0</DocSecurity>
  <Lines>8</Lines>
  <Paragraphs>2</Paragraphs>
  <ScaleCrop>false</ScaleCrop>
  <Company>陈献伟.Org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李怡玲</cp:lastModifiedBy>
  <cp:revision>9</cp:revision>
  <cp:lastPrinted>2019-11-18T07:18:00Z</cp:lastPrinted>
  <dcterms:created xsi:type="dcterms:W3CDTF">2019-03-07T02:45:00Z</dcterms:created>
  <dcterms:modified xsi:type="dcterms:W3CDTF">2019-11-18T08:03:00Z</dcterms:modified>
</cp:coreProperties>
</file>