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D" w:rsidRDefault="000039C7" w:rsidP="0089407C">
      <w:pPr>
        <w:spacing w:beforeLines="50" w:afterLines="50" w:line="400" w:lineRule="exact"/>
        <w:rPr>
          <w:rFonts w:ascii="黑体" w:eastAsia="黑体" w:hAnsi="黑体" w:cs="黑体"/>
          <w:bCs/>
          <w:i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证券代码：</w:t>
      </w:r>
      <w:r>
        <w:rPr>
          <w:rFonts w:eastAsiaTheme="minorEastAsia"/>
          <w:b/>
          <w:iCs/>
          <w:sz w:val="28"/>
          <w:szCs w:val="28"/>
        </w:rPr>
        <w:t>002803</w:t>
      </w:r>
      <w:r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 xml:space="preserve">                          </w:t>
      </w:r>
      <w:r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证券简称：</w:t>
      </w:r>
      <w:proofErr w:type="gramStart"/>
      <w:r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吉宏股份</w:t>
      </w:r>
      <w:proofErr w:type="gramEnd"/>
    </w:p>
    <w:p w:rsidR="00330BDD" w:rsidRDefault="00330BDD" w:rsidP="0089407C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</w:p>
    <w:p w:rsidR="00330BDD" w:rsidRDefault="000039C7" w:rsidP="0089407C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厦门吉宏科技股份有限公司</w:t>
      </w:r>
    </w:p>
    <w:p w:rsidR="00330BDD" w:rsidRDefault="000039C7" w:rsidP="0089407C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:rsidR="00330BDD" w:rsidRDefault="000039C7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sz w:val="24"/>
          <w:szCs w:val="24"/>
        </w:rPr>
        <w:t>编号</w:t>
      </w:r>
      <w:r>
        <w:rPr>
          <w:bCs/>
          <w:iCs/>
          <w:sz w:val="24"/>
          <w:szCs w:val="24"/>
        </w:rPr>
        <w:t>：</w:t>
      </w:r>
      <w:r>
        <w:rPr>
          <w:bCs/>
          <w:iCs/>
          <w:sz w:val="24"/>
          <w:szCs w:val="24"/>
        </w:rPr>
        <w:t>2019</w:t>
      </w:r>
      <w:r>
        <w:rPr>
          <w:rFonts w:hint="eastAsia"/>
          <w:bCs/>
          <w:iCs/>
          <w:sz w:val="24"/>
          <w:szCs w:val="24"/>
        </w:rPr>
        <w:t>1121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330BDD">
        <w:tc>
          <w:tcPr>
            <w:tcW w:w="1908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30BDD" w:rsidRDefault="00330BD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30BDD" w:rsidRDefault="000039C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30BDD" w:rsidRDefault="000039C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30BDD">
        <w:tc>
          <w:tcPr>
            <w:tcW w:w="1908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Allianz Global Investors</w:t>
            </w:r>
            <w:r>
              <w:rPr>
                <w:rFonts w:hint="eastAsia"/>
                <w:bCs/>
                <w:iCs/>
                <w:sz w:val="24"/>
                <w:szCs w:val="24"/>
              </w:rPr>
              <w:t>（安联投资）基金经理：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杜曦民</w:t>
            </w:r>
            <w:proofErr w:type="gramEnd"/>
          </w:p>
          <w:p w:rsidR="00330BDD" w:rsidRDefault="000039C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Polunin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Capital </w:t>
            </w:r>
            <w:r>
              <w:rPr>
                <w:rFonts w:hint="eastAsia"/>
                <w:bCs/>
                <w:iCs/>
                <w:sz w:val="24"/>
                <w:szCs w:val="24"/>
              </w:rPr>
              <w:t>P</w:t>
            </w:r>
            <w:r>
              <w:rPr>
                <w:bCs/>
                <w:iCs/>
                <w:sz w:val="24"/>
                <w:szCs w:val="24"/>
              </w:rPr>
              <w:t xml:space="preserve">artners </w:t>
            </w:r>
            <w:r>
              <w:rPr>
                <w:rFonts w:hint="eastAsia"/>
                <w:bCs/>
                <w:iCs/>
                <w:sz w:val="24"/>
                <w:szCs w:val="24"/>
              </w:rPr>
              <w:t>L</w:t>
            </w:r>
            <w:r>
              <w:rPr>
                <w:bCs/>
                <w:iCs/>
                <w:sz w:val="24"/>
                <w:szCs w:val="24"/>
              </w:rPr>
              <w:t>td</w:t>
            </w:r>
            <w:r>
              <w:rPr>
                <w:rFonts w:hint="eastAsia"/>
                <w:bCs/>
                <w:iCs/>
                <w:sz w:val="24"/>
                <w:szCs w:val="24"/>
              </w:rPr>
              <w:t>（保宁</w:t>
            </w:r>
            <w:r>
              <w:rPr>
                <w:rFonts w:hint="eastAsia"/>
                <w:bCs/>
                <w:iCs/>
                <w:sz w:val="24"/>
                <w:szCs w:val="24"/>
              </w:rPr>
              <w:t>资本</w:t>
            </w:r>
            <w:r>
              <w:rPr>
                <w:rFonts w:hint="eastAsia"/>
                <w:bCs/>
                <w:iCs/>
                <w:sz w:val="24"/>
                <w:szCs w:val="24"/>
              </w:rPr>
              <w:t>）资深研究顾问</w:t>
            </w:r>
            <w:r>
              <w:rPr>
                <w:bCs/>
                <w:iCs/>
                <w:sz w:val="24"/>
                <w:szCs w:val="24"/>
              </w:rPr>
              <w:t>：</w:t>
            </w:r>
            <w:r>
              <w:rPr>
                <w:rFonts w:hint="eastAsia"/>
                <w:bCs/>
                <w:iCs/>
                <w:sz w:val="24"/>
                <w:szCs w:val="24"/>
              </w:rPr>
              <w:t>李明蕙</w:t>
            </w:r>
          </w:p>
        </w:tc>
      </w:tr>
      <w:tr w:rsidR="00330BDD">
        <w:tc>
          <w:tcPr>
            <w:tcW w:w="1908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21</w:t>
            </w:r>
            <w:r>
              <w:rPr>
                <w:bCs/>
                <w:iCs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sz w:val="24"/>
                <w:szCs w:val="24"/>
              </w:rPr>
              <w:t>14:30-1</w:t>
            </w:r>
            <w:r>
              <w:rPr>
                <w:rFonts w:hint="eastAsia"/>
                <w:bCs/>
                <w:iCs/>
                <w:sz w:val="24"/>
                <w:szCs w:val="24"/>
              </w:rPr>
              <w:t>6:00</w:t>
            </w:r>
          </w:p>
        </w:tc>
      </w:tr>
      <w:tr w:rsidR="00330BDD">
        <w:tc>
          <w:tcPr>
            <w:tcW w:w="1908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30BDD">
        <w:tc>
          <w:tcPr>
            <w:tcW w:w="1908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董事会秘书：龚红鹰</w:t>
            </w:r>
          </w:p>
        </w:tc>
      </w:tr>
      <w:tr w:rsidR="00330BDD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30BDD" w:rsidRDefault="00330BD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53D9D" w:rsidRDefault="000039C7" w:rsidP="00E53D9D">
            <w:pPr>
              <w:spacing w:line="480" w:lineRule="atLeast"/>
              <w:ind w:firstLineChars="200" w:firstLine="480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董事会秘书龚红鹰女士对公司发展历程、</w:t>
            </w:r>
            <w:r>
              <w:rPr>
                <w:bCs/>
                <w:iCs/>
                <w:sz w:val="24"/>
                <w:szCs w:val="24"/>
              </w:rPr>
              <w:t>主要业务及</w:t>
            </w: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年前三季度经营业绩情况作了简要介绍，并就投资者关注的问题作了解答，现就主要问题及回复情况说明如下：</w:t>
            </w:r>
          </w:p>
          <w:p w:rsidR="00330BDD" w:rsidRPr="00E53D9D" w:rsidRDefault="00E53D9D" w:rsidP="00E53D9D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一、</w:t>
            </w:r>
            <w:r w:rsidR="000039C7" w:rsidRPr="00E53D9D">
              <w:rPr>
                <w:rFonts w:ascii="宋体" w:hAnsi="宋体" w:hint="eastAsia"/>
                <w:b/>
                <w:iCs/>
                <w:sz w:val="24"/>
                <w:szCs w:val="24"/>
              </w:rPr>
              <w:t>公司布局</w:t>
            </w:r>
            <w:r w:rsidR="000039C7" w:rsidRPr="00E53D9D">
              <w:rPr>
                <w:b/>
                <w:iCs/>
                <w:sz w:val="24"/>
                <w:szCs w:val="24"/>
              </w:rPr>
              <w:t>QSR</w:t>
            </w:r>
            <w:r w:rsidR="000039C7" w:rsidRPr="00E53D9D">
              <w:rPr>
                <w:b/>
                <w:iCs/>
                <w:sz w:val="24"/>
                <w:szCs w:val="24"/>
              </w:rPr>
              <w:t>食品级包装业务的可行性及相关安排</w:t>
            </w:r>
            <w:r w:rsidRPr="00E53D9D">
              <w:rPr>
                <w:rFonts w:hint="eastAsia"/>
                <w:b/>
                <w:iCs/>
                <w:sz w:val="24"/>
                <w:szCs w:val="24"/>
              </w:rPr>
              <w:t>。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近年来移动互联网高速发展，外卖商品盛</w:t>
            </w:r>
            <w:r>
              <w:rPr>
                <w:rFonts w:hint="eastAsia"/>
                <w:bCs/>
                <w:iCs/>
                <w:sz w:val="24"/>
                <w:szCs w:val="24"/>
              </w:rPr>
              <w:t>行，为</w:t>
            </w:r>
            <w:r>
              <w:rPr>
                <w:rFonts w:hint="eastAsia"/>
                <w:bCs/>
                <w:iCs/>
                <w:sz w:val="24"/>
                <w:szCs w:val="24"/>
              </w:rPr>
              <w:t>QSR</w:t>
            </w:r>
            <w:r>
              <w:rPr>
                <w:rFonts w:hint="eastAsia"/>
                <w:bCs/>
                <w:iCs/>
                <w:sz w:val="24"/>
                <w:szCs w:val="24"/>
              </w:rPr>
              <w:t>包装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带来新的发展机遇。随着消</w:t>
            </w:r>
            <w:r>
              <w:rPr>
                <w:rFonts w:hint="eastAsia"/>
                <w:bCs/>
                <w:iCs/>
                <w:sz w:val="24"/>
                <w:szCs w:val="24"/>
              </w:rPr>
              <w:t>费者环保意识的不断加强，在强调食品安全的大环境下，国外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禁塑令快速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实施及国内环保趋严，具有环保理念的直接接触食品的</w:t>
            </w:r>
            <w:r>
              <w:rPr>
                <w:rFonts w:hint="eastAsia"/>
                <w:bCs/>
                <w:iCs/>
                <w:sz w:val="24"/>
                <w:szCs w:val="24"/>
              </w:rPr>
              <w:t>QSR</w:t>
            </w:r>
            <w:r>
              <w:rPr>
                <w:rFonts w:hint="eastAsia"/>
                <w:bCs/>
                <w:iCs/>
                <w:sz w:val="24"/>
                <w:szCs w:val="24"/>
              </w:rPr>
              <w:t>包装（如环保外卖餐盒等）需求将随着外卖行业的发展而持续保持较快增长，</w:t>
            </w:r>
            <w:r>
              <w:rPr>
                <w:rFonts w:hint="eastAsia"/>
                <w:bCs/>
                <w:iCs/>
                <w:sz w:val="24"/>
                <w:szCs w:val="24"/>
              </w:rPr>
              <w:t>QSR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包装未来市场前景十分可观。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</w:t>
            </w:r>
            <w:r>
              <w:rPr>
                <w:rFonts w:hint="eastAsia"/>
                <w:bCs/>
                <w:iCs/>
                <w:sz w:val="24"/>
                <w:szCs w:val="24"/>
              </w:rPr>
              <w:t>于</w:t>
            </w:r>
            <w:r>
              <w:rPr>
                <w:rFonts w:hint="eastAsia"/>
                <w:bCs/>
                <w:iCs/>
                <w:sz w:val="24"/>
                <w:szCs w:val="24"/>
              </w:rPr>
              <w:t>QSR</w:t>
            </w:r>
            <w:r>
              <w:rPr>
                <w:rFonts w:hint="eastAsia"/>
                <w:bCs/>
                <w:iCs/>
                <w:sz w:val="24"/>
                <w:szCs w:val="24"/>
              </w:rPr>
              <w:t>食品级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包装的市场需求及自身发展战略规划，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公司通过并购及非公开发行股票方式布局直接接触食品的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QSR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包装领域，并将进一步利用食品级包装普适性人群的接触点，有效扩大用户基数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，增加人群覆盖面，未来食品级环保包装有望成为公司包装业务的重要增长点。</w:t>
            </w:r>
          </w:p>
          <w:p w:rsidR="00330BDD" w:rsidRDefault="000039C7" w:rsidP="0089407C">
            <w:pPr>
              <w:spacing w:beforeLines="50" w:afterLines="50" w:line="480" w:lineRule="atLeast"/>
              <w:ind w:firstLineChars="200" w:firstLine="482"/>
              <w:rPr>
                <w:rFonts w:ascii="宋体" w:hAnsi="宋体"/>
                <w:b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二、公司如何实现包装业务与互联网业务线上线下相融合？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公司以营销创意为核心，线上线下融合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AI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智能化提升收入与运营效率，为快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消品客户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提供集包装设计、营销策划、及媒体资源整合为一体的营销解决方案。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区块链技术作为新一代信息基础设施，已逐步应用于社会经济生活的各个领域，公司将以区块链技术为支撑，为包装客户提供一物一码技术印刷及后台数据运营、个性化定制等服务，使客户更好的在包装物上实现自媒体营销、网上营销等功能，逐步将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快消品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包装进一步整合为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网络广告载体及精准营销业务的流量入口。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以客户需求为出发点，设身处地立足真实的应用场景，开展区块链行业与底层技术研究，通过自主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研发区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块链行业应用底层平台等方式进行专利布局，</w:t>
            </w:r>
            <w:r>
              <w:rPr>
                <w:rFonts w:ascii="宋体" w:hAnsi="宋体" w:cs="宋体" w:hint="eastAsia"/>
                <w:sz w:val="24"/>
                <w:szCs w:val="24"/>
              </w:rPr>
              <w:t>逐步</w:t>
            </w:r>
            <w:r>
              <w:rPr>
                <w:rFonts w:ascii="宋体" w:hAnsi="宋体" w:cs="宋体" w:hint="eastAsia"/>
                <w:sz w:val="24"/>
                <w:szCs w:val="24"/>
              </w:rPr>
              <w:t>研发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探索区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块链在公司已有业务的应用途径和场景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更好地实现</w:t>
            </w:r>
            <w:r>
              <w:rPr>
                <w:rFonts w:ascii="宋体" w:hAnsi="宋体" w:cs="宋体" w:hint="eastAsia"/>
                <w:sz w:val="24"/>
                <w:szCs w:val="24"/>
              </w:rPr>
              <w:t>包装业务与互联网业务线上线下相融合。</w:t>
            </w:r>
          </w:p>
          <w:p w:rsidR="00330BDD" w:rsidRDefault="000039C7" w:rsidP="0089407C">
            <w:pPr>
              <w:spacing w:beforeLines="50" w:afterLines="50" w:line="480" w:lineRule="atLeast"/>
              <w:ind w:firstLineChars="200" w:firstLine="482"/>
              <w:rPr>
                <w:rFonts w:ascii="宋体" w:hAnsi="宋体"/>
                <w:b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三、公司跨境电</w:t>
            </w:r>
            <w:proofErr w:type="gramStart"/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商</w:t>
            </w: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业务</w:t>
            </w:r>
            <w:proofErr w:type="gramEnd"/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与其他</w:t>
            </w:r>
            <w:proofErr w:type="gramStart"/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平台电</w:t>
            </w:r>
            <w:proofErr w:type="gramEnd"/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商的区别？</w:t>
            </w:r>
          </w:p>
          <w:p w:rsidR="00330BDD" w:rsidRDefault="000039C7" w:rsidP="0089407C">
            <w:pPr>
              <w:spacing w:afterLines="50"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公司跨境电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bookmarkStart w:id="0" w:name="_GoBack"/>
            <w:bookmarkEnd w:id="0"/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采用移动互联网精准营销模式开拓东南亚市场，属于行业内少数先行者之一，在扩大消费者基础、培育消费者忠诚度等方面抢占了先机。公司通过社交网站用户大数据来做精准营销匹配，建立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极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简的商品介绍单页，将产品呈现给精准匹配的电商客户，充分利用社交网络的传播属性和裂变属性，致力于创造一个场景吸引客户购买。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公司跨境电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商业务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大都先产生订单，然后根据订单进行采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购，最终经过第三方物流公司快速流转到客户手中，公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司库销比远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低于其他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平台电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商。</w:t>
            </w:r>
          </w:p>
          <w:p w:rsidR="00330BDD" w:rsidRDefault="000039C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公司依据业务特点，自主研发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ERP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系统，利用快捷的物流体系和高效的供应链管理和技术支撑，实现了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从订单生成到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订单配达完成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、回款等端对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端数据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的打通，提升订单审核模块、采购模块、仓库发货模块、国际端配送回款模块等工作的效率和准确性，通过精细化管理不断提升公司整体效益。</w:t>
            </w:r>
          </w:p>
        </w:tc>
      </w:tr>
      <w:tr w:rsidR="00330BDD">
        <w:tc>
          <w:tcPr>
            <w:tcW w:w="1908" w:type="dxa"/>
            <w:shd w:val="clear" w:color="auto" w:fill="auto"/>
            <w:vAlign w:val="center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30BDD">
        <w:tc>
          <w:tcPr>
            <w:tcW w:w="1908" w:type="dxa"/>
            <w:shd w:val="clear" w:color="auto" w:fill="auto"/>
            <w:vAlign w:val="center"/>
          </w:tcPr>
          <w:p w:rsidR="00330BDD" w:rsidRDefault="000039C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30BDD" w:rsidRDefault="000039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330BDD" w:rsidRDefault="00330BDD">
      <w:pPr>
        <w:widowControl/>
        <w:jc w:val="left"/>
      </w:pPr>
    </w:p>
    <w:sectPr w:rsidR="00330BDD" w:rsidSect="0033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C7" w:rsidRDefault="000039C7" w:rsidP="0089407C">
      <w:r>
        <w:separator/>
      </w:r>
    </w:p>
  </w:endnote>
  <w:endnote w:type="continuationSeparator" w:id="0">
    <w:p w:rsidR="000039C7" w:rsidRDefault="000039C7" w:rsidP="0089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C7" w:rsidRDefault="000039C7" w:rsidP="0089407C">
      <w:r>
        <w:separator/>
      </w:r>
    </w:p>
  </w:footnote>
  <w:footnote w:type="continuationSeparator" w:id="0">
    <w:p w:rsidR="000039C7" w:rsidRDefault="000039C7" w:rsidP="0089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EA"/>
    <w:multiLevelType w:val="singleLevel"/>
    <w:tmpl w:val="069941EA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1D7B3155"/>
    <w:multiLevelType w:val="hybridMultilevel"/>
    <w:tmpl w:val="654C9270"/>
    <w:lvl w:ilvl="0" w:tplc="BCF0F428">
      <w:start w:val="1"/>
      <w:numFmt w:val="japaneseCounting"/>
      <w:lvlText w:val="%1、"/>
      <w:lvlJc w:val="left"/>
      <w:pPr>
        <w:ind w:left="510" w:hanging="51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2AA"/>
    <w:rsid w:val="000039C7"/>
    <w:rsid w:val="002D4601"/>
    <w:rsid w:val="00330BDD"/>
    <w:rsid w:val="004C735C"/>
    <w:rsid w:val="004F7AA5"/>
    <w:rsid w:val="008822AA"/>
    <w:rsid w:val="0089407C"/>
    <w:rsid w:val="00AF1FAC"/>
    <w:rsid w:val="00E53D9D"/>
    <w:rsid w:val="00FA6951"/>
    <w:rsid w:val="00FE4062"/>
    <w:rsid w:val="011C725A"/>
    <w:rsid w:val="028E3882"/>
    <w:rsid w:val="041252F6"/>
    <w:rsid w:val="054E7630"/>
    <w:rsid w:val="06FB770F"/>
    <w:rsid w:val="08E56E8A"/>
    <w:rsid w:val="0BAF42E0"/>
    <w:rsid w:val="0F705A92"/>
    <w:rsid w:val="105731C1"/>
    <w:rsid w:val="10645FCD"/>
    <w:rsid w:val="13761094"/>
    <w:rsid w:val="138906E8"/>
    <w:rsid w:val="14E31A1E"/>
    <w:rsid w:val="153D302B"/>
    <w:rsid w:val="156462FD"/>
    <w:rsid w:val="17371541"/>
    <w:rsid w:val="178D7D17"/>
    <w:rsid w:val="18484418"/>
    <w:rsid w:val="19436CD7"/>
    <w:rsid w:val="1FEC7CDB"/>
    <w:rsid w:val="1FFE4CEF"/>
    <w:rsid w:val="223334B3"/>
    <w:rsid w:val="224D146B"/>
    <w:rsid w:val="228A6B5B"/>
    <w:rsid w:val="22EC540D"/>
    <w:rsid w:val="23A21CF1"/>
    <w:rsid w:val="2458383E"/>
    <w:rsid w:val="24A71553"/>
    <w:rsid w:val="24C90C5F"/>
    <w:rsid w:val="28D660CE"/>
    <w:rsid w:val="28EF3EF2"/>
    <w:rsid w:val="2AED1A4B"/>
    <w:rsid w:val="2BB61725"/>
    <w:rsid w:val="2DC92EED"/>
    <w:rsid w:val="2EE703D8"/>
    <w:rsid w:val="2F3C266C"/>
    <w:rsid w:val="2FFA5513"/>
    <w:rsid w:val="3043485E"/>
    <w:rsid w:val="30E71243"/>
    <w:rsid w:val="30EB26F7"/>
    <w:rsid w:val="310C6E1C"/>
    <w:rsid w:val="310D286E"/>
    <w:rsid w:val="32A60446"/>
    <w:rsid w:val="34900CB4"/>
    <w:rsid w:val="35B53064"/>
    <w:rsid w:val="35F31759"/>
    <w:rsid w:val="361B1578"/>
    <w:rsid w:val="36206231"/>
    <w:rsid w:val="368A6923"/>
    <w:rsid w:val="37A54DDB"/>
    <w:rsid w:val="38DA65FC"/>
    <w:rsid w:val="3994404D"/>
    <w:rsid w:val="3A2376D1"/>
    <w:rsid w:val="3B6D3EDF"/>
    <w:rsid w:val="3B7112CC"/>
    <w:rsid w:val="3BAD166F"/>
    <w:rsid w:val="3D092A3D"/>
    <w:rsid w:val="3EC9155B"/>
    <w:rsid w:val="400B657E"/>
    <w:rsid w:val="4104698A"/>
    <w:rsid w:val="41093F7A"/>
    <w:rsid w:val="43F135F6"/>
    <w:rsid w:val="44632418"/>
    <w:rsid w:val="45F23049"/>
    <w:rsid w:val="460C011A"/>
    <w:rsid w:val="47E04262"/>
    <w:rsid w:val="4894053A"/>
    <w:rsid w:val="49ED771C"/>
    <w:rsid w:val="4AB150A5"/>
    <w:rsid w:val="4AFF0F66"/>
    <w:rsid w:val="4C9B0422"/>
    <w:rsid w:val="4ED6503F"/>
    <w:rsid w:val="4F612D47"/>
    <w:rsid w:val="50905B76"/>
    <w:rsid w:val="5250130D"/>
    <w:rsid w:val="537A75F3"/>
    <w:rsid w:val="53B05FEA"/>
    <w:rsid w:val="56BD3216"/>
    <w:rsid w:val="56C92141"/>
    <w:rsid w:val="56CA620C"/>
    <w:rsid w:val="577F4040"/>
    <w:rsid w:val="57927ACC"/>
    <w:rsid w:val="57D712D3"/>
    <w:rsid w:val="5B285067"/>
    <w:rsid w:val="5B665821"/>
    <w:rsid w:val="5BFB1FD7"/>
    <w:rsid w:val="5CE54346"/>
    <w:rsid w:val="5D890FCF"/>
    <w:rsid w:val="5ED43D24"/>
    <w:rsid w:val="6245590F"/>
    <w:rsid w:val="63FF0871"/>
    <w:rsid w:val="64EF668C"/>
    <w:rsid w:val="66731FFF"/>
    <w:rsid w:val="66801D0E"/>
    <w:rsid w:val="66BC5A8C"/>
    <w:rsid w:val="67754DD8"/>
    <w:rsid w:val="6847745B"/>
    <w:rsid w:val="68C5668E"/>
    <w:rsid w:val="68D72537"/>
    <w:rsid w:val="69326B2A"/>
    <w:rsid w:val="695D5374"/>
    <w:rsid w:val="697608D2"/>
    <w:rsid w:val="6A024392"/>
    <w:rsid w:val="6A194236"/>
    <w:rsid w:val="6C3F6D60"/>
    <w:rsid w:val="6CD210BD"/>
    <w:rsid w:val="6E344022"/>
    <w:rsid w:val="6E743A21"/>
    <w:rsid w:val="6EB0454B"/>
    <w:rsid w:val="6EF0639B"/>
    <w:rsid w:val="6F8B7312"/>
    <w:rsid w:val="70062475"/>
    <w:rsid w:val="72172D2B"/>
    <w:rsid w:val="724E5116"/>
    <w:rsid w:val="73F2145F"/>
    <w:rsid w:val="76093F19"/>
    <w:rsid w:val="76F56541"/>
    <w:rsid w:val="77254667"/>
    <w:rsid w:val="77997F39"/>
    <w:rsid w:val="78A276BF"/>
    <w:rsid w:val="7A976618"/>
    <w:rsid w:val="7B541FD7"/>
    <w:rsid w:val="7B574353"/>
    <w:rsid w:val="7BE0581F"/>
    <w:rsid w:val="7C0F3A42"/>
    <w:rsid w:val="7C3A6BA7"/>
    <w:rsid w:val="7C6F7754"/>
    <w:rsid w:val="7C7E5F66"/>
    <w:rsid w:val="7CF042C6"/>
    <w:rsid w:val="7DC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D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rsid w:val="00330B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30B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30BD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53D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2019-11-21T01:13:00Z</dcterms:created>
  <dcterms:modified xsi:type="dcterms:W3CDTF">2019-11-21T14:40:00Z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