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400" w:lineRule="exact"/>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证券代码：000723                               证券简称：美锦能源</w:t>
      </w:r>
    </w:p>
    <w:p>
      <w:pPr>
        <w:widowControl w:val="0"/>
        <w:adjustRightInd/>
        <w:snapToGrid/>
        <w:spacing w:after="0" w:line="400" w:lineRule="exact"/>
        <w:contextualSpacing/>
        <w:jc w:val="center"/>
        <w:rPr>
          <w:rFonts w:ascii="宋体" w:hAnsi="宋体" w:eastAsia="宋体" w:cs="Times New Roman"/>
          <w:b/>
          <w:bCs/>
          <w:iCs/>
          <w:color w:val="000000"/>
          <w:kern w:val="2"/>
          <w:sz w:val="32"/>
          <w:szCs w:val="32"/>
        </w:rPr>
      </w:pPr>
      <w:r>
        <w:rPr>
          <w:rFonts w:hint="eastAsia" w:ascii="宋体" w:hAnsi="宋体" w:eastAsia="宋体" w:cs="Times New Roman"/>
          <w:b/>
          <w:bCs/>
          <w:iCs/>
          <w:color w:val="000000"/>
          <w:kern w:val="2"/>
          <w:sz w:val="32"/>
          <w:szCs w:val="32"/>
        </w:rPr>
        <w:t>山西美锦能源股份有限公司投资者关系活动记录表</w:t>
      </w:r>
    </w:p>
    <w:p>
      <w:pPr>
        <w:widowControl w:val="0"/>
        <w:adjustRightInd/>
        <w:snapToGrid/>
        <w:spacing w:after="0" w:line="400" w:lineRule="exact"/>
        <w:contextualSpacing/>
        <w:jc w:val="right"/>
        <w:rPr>
          <w:rFonts w:hint="eastAsia" w:ascii="宋体" w:hAnsi="宋体" w:eastAsia="宋体" w:cs="Times New Roman"/>
          <w:bCs/>
          <w:iCs/>
          <w:color w:val="000000"/>
          <w:kern w:val="2"/>
          <w:sz w:val="24"/>
          <w:szCs w:val="24"/>
          <w:lang w:val="en-US" w:eastAsia="zh-CN"/>
        </w:rPr>
      </w:pPr>
      <w:r>
        <w:rPr>
          <w:rFonts w:hint="eastAsia" w:ascii="宋体" w:hAnsi="宋体" w:eastAsia="宋体" w:cs="Times New Roman"/>
          <w:bCs/>
          <w:iCs/>
          <w:color w:val="000000"/>
          <w:kern w:val="2"/>
          <w:sz w:val="24"/>
          <w:szCs w:val="24"/>
        </w:rPr>
        <w:t>编号：</w:t>
      </w:r>
      <w:r>
        <w:rPr>
          <w:rFonts w:ascii="宋体" w:hAnsi="宋体" w:eastAsia="宋体" w:cs="Times New Roman"/>
          <w:bCs/>
          <w:iCs/>
          <w:color w:val="000000"/>
          <w:kern w:val="2"/>
          <w:sz w:val="24"/>
          <w:szCs w:val="24"/>
        </w:rPr>
        <w:t>2019-00</w:t>
      </w:r>
      <w:r>
        <w:rPr>
          <w:rFonts w:hint="eastAsia" w:ascii="宋体" w:hAnsi="宋体" w:eastAsia="宋体" w:cs="Times New Roman"/>
          <w:bCs/>
          <w:iCs/>
          <w:color w:val="000000"/>
          <w:kern w:val="2"/>
          <w:sz w:val="24"/>
          <w:szCs w:val="24"/>
          <w:lang w:val="en-US" w:eastAsia="zh-CN"/>
        </w:rPr>
        <w:t>5</w:t>
      </w:r>
      <w:bookmarkStart w:id="0" w:name="_GoBack"/>
      <w:bookmarkEnd w:id="0"/>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510"/>
        <w:gridCol w:w="370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投资者关系活动类别</w:t>
            </w:r>
          </w:p>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 xml:space="preserve">特定对象调研        </w:t>
            </w: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分析师会议</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 xml:space="preserve">媒体采访            </w:t>
            </w: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业绩说明会</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 xml:space="preserve">新闻发布会          </w:t>
            </w: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路演活动</w:t>
            </w:r>
          </w:p>
          <w:p>
            <w:pPr>
              <w:widowControl w:val="0"/>
              <w:tabs>
                <w:tab w:val="left" w:pos="3045"/>
                <w:tab w:val="center" w:pos="3199"/>
              </w:tabs>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现场参观</w:t>
            </w:r>
          </w:p>
          <w:p>
            <w:pPr>
              <w:widowControl w:val="0"/>
              <w:tabs>
                <w:tab w:val="center" w:pos="3199"/>
              </w:tabs>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w:t>
            </w:r>
            <w:r>
              <w:rPr>
                <w:rFonts w:hint="eastAsia" w:ascii="宋体" w:hAnsi="宋体" w:eastAsia="宋体" w:cs="Times New Roman"/>
                <w:kern w:val="2"/>
                <w:sz w:val="24"/>
                <w:szCs w:val="24"/>
              </w:rPr>
              <w:t>其他 （</w:t>
            </w:r>
            <w:r>
              <w:rPr>
                <w:rFonts w:hint="eastAsia" w:ascii="宋体" w:hAnsi="宋体" w:eastAsia="宋体" w:cs="Times New Roman"/>
                <w:kern w:val="2"/>
                <w:sz w:val="24"/>
                <w:szCs w:val="24"/>
                <w:u w:val="single"/>
              </w:rPr>
              <w:t>投资者交流会）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参与单位名称及人员姓名</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201</w:t>
            </w:r>
            <w:r>
              <w:rPr>
                <w:rFonts w:ascii="宋体" w:hAnsi="宋体" w:eastAsia="宋体" w:cs="Times New Roman"/>
                <w:bCs/>
                <w:iCs/>
                <w:color w:val="000000"/>
                <w:kern w:val="2"/>
                <w:sz w:val="24"/>
                <w:szCs w:val="24"/>
              </w:rPr>
              <w:t>9</w:t>
            </w:r>
            <w:r>
              <w:rPr>
                <w:rFonts w:hint="eastAsia" w:ascii="宋体" w:hAnsi="宋体" w:eastAsia="宋体" w:cs="Times New Roman"/>
                <w:bCs/>
                <w:iCs/>
                <w:color w:val="000000"/>
                <w:kern w:val="2"/>
                <w:sz w:val="24"/>
                <w:szCs w:val="24"/>
              </w:rPr>
              <w:t>年</w:t>
            </w:r>
            <w:r>
              <w:rPr>
                <w:rFonts w:ascii="宋体" w:hAnsi="宋体" w:eastAsia="宋体" w:cs="Times New Roman"/>
                <w:bCs/>
                <w:iCs/>
                <w:color w:val="000000"/>
                <w:kern w:val="2"/>
                <w:sz w:val="24"/>
                <w:szCs w:val="24"/>
              </w:rPr>
              <w:t>11</w:t>
            </w:r>
            <w:r>
              <w:rPr>
                <w:rFonts w:hint="eastAsia" w:ascii="宋体" w:hAnsi="宋体" w:eastAsia="宋体" w:cs="Times New Roman"/>
                <w:bCs/>
                <w:iCs/>
                <w:color w:val="000000"/>
                <w:kern w:val="2"/>
                <w:sz w:val="24"/>
                <w:szCs w:val="24"/>
              </w:rPr>
              <w:t>月</w:t>
            </w:r>
            <w:r>
              <w:rPr>
                <w:rFonts w:ascii="宋体" w:hAnsi="宋体" w:eastAsia="宋体" w:cs="Times New Roman"/>
                <w:bCs/>
                <w:iCs/>
                <w:color w:val="000000"/>
                <w:kern w:val="2"/>
                <w:sz w:val="24"/>
                <w:szCs w:val="24"/>
              </w:rPr>
              <w:t>20</w:t>
            </w:r>
            <w:r>
              <w:rPr>
                <w:rFonts w:hint="eastAsia" w:ascii="宋体" w:hAnsi="宋体" w:eastAsia="宋体" w:cs="Times New Roman"/>
                <w:bCs/>
                <w:iCs/>
                <w:color w:val="000000"/>
                <w:kern w:val="2"/>
                <w:sz w:val="24"/>
                <w:szCs w:val="24"/>
              </w:rPr>
              <w:t>日公司组织召开了2</w:t>
            </w:r>
            <w:r>
              <w:rPr>
                <w:rFonts w:ascii="宋体" w:hAnsi="宋体" w:eastAsia="宋体" w:cs="Times New Roman"/>
                <w:bCs/>
                <w:iCs/>
                <w:color w:val="000000"/>
                <w:kern w:val="2"/>
                <w:sz w:val="24"/>
                <w:szCs w:val="24"/>
              </w:rPr>
              <w:t>019</w:t>
            </w:r>
            <w:r>
              <w:rPr>
                <w:rFonts w:hint="eastAsia" w:ascii="宋体" w:hAnsi="宋体" w:eastAsia="宋体" w:cs="Times New Roman"/>
                <w:bCs/>
                <w:iCs/>
                <w:color w:val="000000"/>
                <w:kern w:val="2"/>
                <w:sz w:val="24"/>
                <w:szCs w:val="24"/>
              </w:rPr>
              <w:t>美锦能源投资者交流会。共计5</w:t>
            </w:r>
            <w:r>
              <w:rPr>
                <w:rFonts w:ascii="宋体" w:hAnsi="宋体" w:eastAsia="宋体" w:cs="Times New Roman"/>
                <w:bCs/>
                <w:iCs/>
                <w:color w:val="000000"/>
                <w:kern w:val="2"/>
                <w:sz w:val="24"/>
                <w:szCs w:val="24"/>
              </w:rPr>
              <w:t>0</w:t>
            </w:r>
            <w:r>
              <w:rPr>
                <w:rFonts w:hint="eastAsia" w:ascii="宋体" w:hAnsi="宋体" w:eastAsia="宋体" w:cs="Times New Roman"/>
                <w:bCs/>
                <w:iCs/>
                <w:color w:val="000000"/>
                <w:kern w:val="2"/>
                <w:sz w:val="24"/>
                <w:szCs w:val="24"/>
              </w:rPr>
              <w:t>家机构，5</w:t>
            </w:r>
            <w:r>
              <w:rPr>
                <w:rFonts w:ascii="宋体" w:hAnsi="宋体" w:eastAsia="宋体" w:cs="Times New Roman"/>
                <w:bCs/>
                <w:iCs/>
                <w:color w:val="000000"/>
                <w:kern w:val="2"/>
                <w:sz w:val="24"/>
                <w:szCs w:val="24"/>
              </w:rPr>
              <w:t>6</w:t>
            </w:r>
            <w:r>
              <w:rPr>
                <w:rFonts w:hint="eastAsia" w:ascii="宋体" w:hAnsi="宋体" w:eastAsia="宋体" w:cs="Times New Roman"/>
                <w:bCs/>
                <w:iCs/>
                <w:color w:val="000000"/>
                <w:kern w:val="2"/>
                <w:sz w:val="24"/>
                <w:szCs w:val="24"/>
              </w:rPr>
              <w:t>人参会。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adjustRightInd/>
              <w:snapToGrid/>
              <w:spacing w:after="0" w:line="276" w:lineRule="auto"/>
              <w:contextualSpacing/>
              <w:jc w:val="both"/>
              <w:rPr>
                <w:rFonts w:ascii="宋体" w:hAnsi="宋体" w:eastAsia="宋体" w:cs="宋体"/>
                <w:sz w:val="24"/>
                <w:szCs w:val="24"/>
              </w:rPr>
            </w:pPr>
            <w:r>
              <w:rPr>
                <w:rFonts w:hint="eastAsia" w:ascii="宋体" w:hAnsi="宋体" w:eastAsia="宋体" w:cs="Times New Roman"/>
                <w:bCs/>
                <w:iCs/>
                <w:color w:val="000000"/>
                <w:kern w:val="2"/>
                <w:sz w:val="24"/>
                <w:szCs w:val="24"/>
              </w:rPr>
              <w:t>201</w:t>
            </w:r>
            <w:r>
              <w:rPr>
                <w:rFonts w:ascii="宋体" w:hAnsi="宋体" w:eastAsia="宋体" w:cs="Times New Roman"/>
                <w:bCs/>
                <w:iCs/>
                <w:color w:val="000000"/>
                <w:kern w:val="2"/>
                <w:sz w:val="24"/>
                <w:szCs w:val="24"/>
              </w:rPr>
              <w:t>9</w:t>
            </w:r>
            <w:r>
              <w:rPr>
                <w:rFonts w:hint="eastAsia" w:ascii="宋体" w:hAnsi="宋体" w:eastAsia="宋体" w:cs="Times New Roman"/>
                <w:bCs/>
                <w:iCs/>
                <w:color w:val="000000"/>
                <w:kern w:val="2"/>
                <w:sz w:val="24"/>
                <w:szCs w:val="24"/>
              </w:rPr>
              <w:t>年</w:t>
            </w:r>
            <w:r>
              <w:rPr>
                <w:rFonts w:ascii="宋体" w:hAnsi="宋体" w:eastAsia="宋体" w:cs="Times New Roman"/>
                <w:bCs/>
                <w:iCs/>
                <w:color w:val="000000"/>
                <w:kern w:val="2"/>
                <w:sz w:val="24"/>
                <w:szCs w:val="24"/>
              </w:rPr>
              <w:t>11</w:t>
            </w:r>
            <w:r>
              <w:rPr>
                <w:rFonts w:hint="eastAsia" w:ascii="宋体" w:hAnsi="宋体" w:eastAsia="宋体" w:cs="Times New Roman"/>
                <w:bCs/>
                <w:iCs/>
                <w:color w:val="000000"/>
                <w:kern w:val="2"/>
                <w:sz w:val="24"/>
                <w:szCs w:val="24"/>
              </w:rPr>
              <w:t>月</w:t>
            </w:r>
            <w:r>
              <w:rPr>
                <w:rFonts w:ascii="宋体" w:hAnsi="宋体" w:eastAsia="宋体" w:cs="Times New Roman"/>
                <w:bCs/>
                <w:iCs/>
                <w:color w:val="000000"/>
                <w:kern w:val="2"/>
                <w:sz w:val="24"/>
                <w:szCs w:val="24"/>
              </w:rPr>
              <w:t>20</w:t>
            </w:r>
            <w:r>
              <w:rPr>
                <w:rFonts w:hint="eastAsia" w:ascii="宋体" w:hAnsi="宋体" w:eastAsia="宋体" w:cs="Times New Roman"/>
                <w:bCs/>
                <w:iCs/>
                <w:color w:val="000000"/>
                <w:kern w:val="2"/>
                <w:sz w:val="24"/>
                <w:szCs w:val="24"/>
              </w:rPr>
              <w:t>日下午</w:t>
            </w:r>
            <w:r>
              <w:rPr>
                <w:rFonts w:ascii="宋体" w:hAnsi="宋体" w:eastAsia="宋体" w:cs="Times New Roman"/>
                <w:bCs/>
                <w:iCs/>
                <w:color w:val="000000"/>
                <w:kern w:val="2"/>
                <w:sz w:val="24"/>
                <w:szCs w:val="24"/>
              </w:rPr>
              <w:t>13</w:t>
            </w:r>
            <w:r>
              <w:rPr>
                <w:rFonts w:hint="eastAsia" w:ascii="宋体" w:hAnsi="宋体" w:eastAsia="宋体" w:cs="Times New Roman"/>
                <w:bCs/>
                <w:iCs/>
                <w:color w:val="000000"/>
                <w:kern w:val="2"/>
                <w:sz w:val="24"/>
                <w:szCs w:val="24"/>
              </w:rPr>
              <w:t>:30</w:t>
            </w:r>
            <w:r>
              <w:rPr>
                <w:rFonts w:ascii="宋体" w:hAnsi="宋体" w:eastAsia="宋体" w:cs="Times New Roman"/>
                <w:bCs/>
                <w:iCs/>
                <w:color w:val="000000"/>
                <w:kern w:val="2"/>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北京市西城区华远街2号北京泛太平洋酒店二楼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上市公司接待人员姓名</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姚锦龙 公司董事长</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朱庆华 公司董事、副总经理兼董事会秘书</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郑彩霞 公司董事、财务总监</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姚锦丽 公司副总经理</w:t>
            </w:r>
          </w:p>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 xml:space="preserve">李 </w:t>
            </w:r>
            <w:r>
              <w:rPr>
                <w:rFonts w:ascii="宋体" w:hAnsi="宋体" w:eastAsia="宋体" w:cs="Times New Roman"/>
                <w:bCs/>
                <w:iCs/>
                <w:color w:val="000000"/>
                <w:kern w:val="2"/>
                <w:sz w:val="24"/>
                <w:szCs w:val="24"/>
              </w:rPr>
              <w:t xml:space="preserve"> </w:t>
            </w:r>
            <w:r>
              <w:rPr>
                <w:rFonts w:hint="eastAsia" w:ascii="宋体" w:hAnsi="宋体" w:eastAsia="宋体" w:cs="Times New Roman"/>
                <w:bCs/>
                <w:iCs/>
                <w:color w:val="000000"/>
                <w:kern w:val="2"/>
                <w:sz w:val="24"/>
                <w:szCs w:val="24"/>
              </w:rPr>
              <w:t>友 公司监事会主席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08" w:type="dxa"/>
            <w:vMerge w:val="restart"/>
            <w:tcBorders>
              <w:top w:val="single" w:color="auto" w:sz="4" w:space="0"/>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投资者关系活动主要内容介绍</w:t>
            </w:r>
          </w:p>
        </w:tc>
        <w:tc>
          <w:tcPr>
            <w:tcW w:w="6705" w:type="dxa"/>
            <w:gridSpan w:val="3"/>
            <w:tcBorders>
              <w:top w:val="single" w:color="auto" w:sz="4" w:space="0"/>
              <w:left w:val="single" w:color="auto" w:sz="4" w:space="0"/>
              <w:bottom w:val="single" w:color="auto" w:sz="4" w:space="0"/>
              <w:right w:val="single" w:color="auto" w:sz="4" w:space="0"/>
            </w:tcBorders>
          </w:tcPr>
          <w:p>
            <w:pPr>
              <w:widowControl w:val="0"/>
              <w:adjustRightInd/>
              <w:snapToGrid/>
              <w:spacing w:after="0" w:line="276" w:lineRule="auto"/>
              <w:contextualSpacing/>
              <w:jc w:val="both"/>
              <w:rPr>
                <w:rFonts w:ascii="宋体" w:hAnsi="宋体" w:eastAsia="宋体" w:cs="Times New Roman"/>
                <w:iCs/>
                <w:color w:val="000000"/>
                <w:kern w:val="2"/>
                <w:sz w:val="24"/>
                <w:szCs w:val="24"/>
              </w:rPr>
            </w:pPr>
            <w:r>
              <w:rPr>
                <w:rFonts w:hint="eastAsia" w:ascii="宋体" w:hAnsi="宋体" w:eastAsia="宋体" w:cs="Times New Roman"/>
                <w:iCs/>
                <w:color w:val="000000"/>
                <w:kern w:val="2"/>
                <w:sz w:val="24"/>
                <w:szCs w:val="24"/>
              </w:rPr>
              <w:t>会议流程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1</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公司整体情况及战略规划</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公司董事长 姚锦龙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2</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焦炭行业未来趋势</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安信证券煤炭行业首席分析师 周泰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3</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燃料电池产业近况及商业模式探讨</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国金证券研究所董事总经理 张帅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4</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飞驰客车在氢能源商用车领域的发展</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飞驰汽车总经理 江勇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5</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氢燃料电池技术应用及产业化</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国鸿氢能副总经理 刘志祥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6</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高性能燃料电池膜电极产业化</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鸿基创能首席技术官 叶思宇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7</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燃料电池测试技术及装备</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台湾群翌副总经理 陈致源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8</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超级电容炭产业化技术攻关进展</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中科院山西煤化所研究员 陈成猛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908" w:type="dxa"/>
            <w:vMerge w:val="continue"/>
            <w:tcBorders>
              <w:left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9</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以机器人与自动化赋能 带动能源产业的新革命</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盈峰投资总经理 陈志辉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908" w:type="dxa"/>
            <w:vMerge w:val="continue"/>
            <w:tcBorders>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1</w:t>
            </w:r>
            <w:r>
              <w:rPr>
                <w:rFonts w:ascii="宋体" w:hAnsi="宋体" w:eastAsia="宋体" w:cs="Times New Roman"/>
                <w:bCs/>
                <w:iCs/>
                <w:color w:val="000000"/>
                <w:kern w:val="2"/>
                <w:sz w:val="24"/>
                <w:szCs w:val="24"/>
              </w:rPr>
              <w:t>0</w:t>
            </w:r>
          </w:p>
        </w:tc>
        <w:tc>
          <w:tcPr>
            <w:tcW w:w="370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互动交流</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附件清单（如有）</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投资者交流会会议纪要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90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center"/>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contextualSpacing/>
              <w:jc w:val="both"/>
              <w:rPr>
                <w:rFonts w:ascii="宋体" w:hAnsi="宋体" w:eastAsia="宋体" w:cs="Times New Roman"/>
                <w:bCs/>
                <w:iCs/>
                <w:color w:val="000000"/>
                <w:kern w:val="2"/>
                <w:sz w:val="24"/>
                <w:szCs w:val="24"/>
              </w:rPr>
            </w:pPr>
            <w:r>
              <w:rPr>
                <w:rFonts w:hint="eastAsia" w:ascii="宋体" w:hAnsi="宋体" w:eastAsia="宋体" w:cs="Times New Roman"/>
                <w:bCs/>
                <w:iCs/>
                <w:color w:val="000000"/>
                <w:kern w:val="2"/>
                <w:sz w:val="24"/>
                <w:szCs w:val="24"/>
              </w:rPr>
              <w:t>201</w:t>
            </w:r>
            <w:r>
              <w:rPr>
                <w:rFonts w:ascii="宋体" w:hAnsi="宋体" w:eastAsia="宋体" w:cs="Times New Roman"/>
                <w:bCs/>
                <w:iCs/>
                <w:color w:val="000000"/>
                <w:kern w:val="2"/>
                <w:sz w:val="24"/>
                <w:szCs w:val="24"/>
              </w:rPr>
              <w:t>9</w:t>
            </w:r>
            <w:r>
              <w:rPr>
                <w:rFonts w:hint="eastAsia" w:ascii="宋体" w:hAnsi="宋体" w:eastAsia="宋体" w:cs="Times New Roman"/>
                <w:bCs/>
                <w:iCs/>
                <w:color w:val="000000"/>
                <w:kern w:val="2"/>
                <w:sz w:val="24"/>
                <w:szCs w:val="24"/>
              </w:rPr>
              <w:t>年</w:t>
            </w:r>
            <w:r>
              <w:rPr>
                <w:rFonts w:ascii="宋体" w:hAnsi="宋体" w:eastAsia="宋体" w:cs="Times New Roman"/>
                <w:bCs/>
                <w:iCs/>
                <w:color w:val="000000"/>
                <w:kern w:val="2"/>
                <w:sz w:val="24"/>
                <w:szCs w:val="24"/>
              </w:rPr>
              <w:t>11</w:t>
            </w:r>
            <w:r>
              <w:rPr>
                <w:rFonts w:hint="eastAsia" w:ascii="宋体" w:hAnsi="宋体" w:eastAsia="宋体" w:cs="Times New Roman"/>
                <w:bCs/>
                <w:iCs/>
                <w:color w:val="000000"/>
                <w:kern w:val="2"/>
                <w:sz w:val="24"/>
                <w:szCs w:val="24"/>
              </w:rPr>
              <w:t>月</w:t>
            </w:r>
            <w:r>
              <w:rPr>
                <w:rFonts w:ascii="宋体" w:hAnsi="宋体" w:eastAsia="宋体" w:cs="Times New Roman"/>
                <w:bCs/>
                <w:iCs/>
                <w:color w:val="000000"/>
                <w:kern w:val="2"/>
                <w:sz w:val="24"/>
                <w:szCs w:val="24"/>
              </w:rPr>
              <w:t>20</w:t>
            </w:r>
            <w:r>
              <w:rPr>
                <w:rFonts w:hint="eastAsia" w:ascii="宋体" w:hAnsi="宋体" w:eastAsia="宋体" w:cs="Times New Roman"/>
                <w:bCs/>
                <w:iCs/>
                <w:color w:val="000000"/>
                <w:kern w:val="2"/>
                <w:sz w:val="24"/>
                <w:szCs w:val="24"/>
              </w:rPr>
              <w:t>日</w:t>
            </w:r>
          </w:p>
        </w:tc>
      </w:tr>
    </w:tbl>
    <w:p>
      <w:pPr>
        <w:widowControl w:val="0"/>
        <w:adjustRightInd/>
        <w:snapToGrid/>
        <w:spacing w:after="0" w:line="400" w:lineRule="exact"/>
        <w:contextualSpacing/>
        <w:jc w:val="center"/>
        <w:rPr>
          <w:rFonts w:ascii="宋体" w:hAnsi="宋体" w:eastAsia="宋体" w:cs="Times New Roman"/>
          <w:b/>
          <w:bCs/>
          <w:iCs/>
          <w:color w:val="000000"/>
          <w:kern w:val="2"/>
          <w:sz w:val="32"/>
          <w:szCs w:val="32"/>
        </w:rPr>
      </w:pPr>
    </w:p>
    <w:p>
      <w:pPr>
        <w:tabs>
          <w:tab w:val="left" w:pos="2738"/>
        </w:tabs>
        <w:adjustRightInd/>
        <w:snapToGrid/>
        <w:spacing w:after="0" w:line="360" w:lineRule="auto"/>
        <w:ind w:firstLine="540" w:firstLineChars="200"/>
        <w:contextualSpacing/>
        <w:rPr>
          <w:rFonts w:cs="Helvetica" w:asciiTheme="minorEastAsia" w:hAnsiTheme="minorEastAsia" w:eastAsiaTheme="minorEastAsia"/>
          <w:color w:val="333333"/>
          <w:spacing w:val="15"/>
          <w:sz w:val="24"/>
          <w:szCs w:val="24"/>
          <w:shd w:val="clear" w:color="auto" w:fill="FFFFFF"/>
        </w:rPr>
        <w:sectPr>
          <w:pgSz w:w="11906" w:h="16838"/>
          <w:pgMar w:top="1440" w:right="1800" w:bottom="1440" w:left="1800" w:header="708" w:footer="708" w:gutter="0"/>
          <w:cols w:space="708" w:num="1"/>
          <w:docGrid w:linePitch="360" w:charSpace="0"/>
        </w:sectPr>
      </w:pPr>
    </w:p>
    <w:p>
      <w:pPr>
        <w:widowControl w:val="0"/>
        <w:adjustRightInd/>
        <w:snapToGrid/>
        <w:spacing w:after="0"/>
        <w:contextualSpacing/>
        <w:jc w:val="center"/>
        <w:rPr>
          <w:rFonts w:ascii="宋体" w:hAnsi="宋体" w:eastAsia="宋体" w:cs="Times New Roman"/>
          <w:b/>
          <w:bCs/>
          <w:iCs/>
          <w:color w:val="000000"/>
          <w:kern w:val="2"/>
          <w:sz w:val="32"/>
          <w:szCs w:val="32"/>
          <w:lang w:val="zh-CN"/>
        </w:rPr>
      </w:pPr>
      <w:r>
        <w:rPr>
          <w:rFonts w:hint="eastAsia" w:ascii="宋体" w:hAnsi="宋体" w:eastAsia="宋体" w:cs="Times New Roman"/>
          <w:b/>
          <w:bCs/>
          <w:iCs/>
          <w:color w:val="000000"/>
          <w:kern w:val="2"/>
          <w:sz w:val="32"/>
          <w:szCs w:val="32"/>
          <w:lang w:val="zh-CN"/>
        </w:rPr>
        <w:t>美锦能源投资者交流会会议纪要</w:t>
      </w:r>
    </w:p>
    <w:p>
      <w:pPr>
        <w:widowControl w:val="0"/>
        <w:adjustRightInd/>
        <w:snapToGrid/>
        <w:spacing w:after="0"/>
        <w:contextualSpacing/>
        <w:jc w:val="center"/>
        <w:rPr>
          <w:rFonts w:ascii="宋体" w:hAnsi="宋体" w:eastAsia="宋体" w:cs="Times New Roman"/>
          <w:b/>
          <w:bCs/>
          <w:iCs/>
          <w:color w:val="000000"/>
          <w:kern w:val="2"/>
          <w:sz w:val="32"/>
          <w:szCs w:val="32"/>
          <w:lang w:val="zh-CN"/>
        </w:rPr>
      </w:pPr>
    </w:p>
    <w:p>
      <w:pPr>
        <w:widowControl w:val="0"/>
        <w:adjustRightInd/>
        <w:snapToGrid/>
        <w:spacing w:after="0"/>
        <w:contextualSpacing/>
        <w:jc w:val="center"/>
        <w:rPr>
          <w:rFonts w:ascii="宋体" w:hAnsi="宋体" w:eastAsia="宋体" w:cs="Times New Roman"/>
          <w:b/>
          <w:bCs/>
          <w:iCs/>
          <w:color w:val="000000"/>
          <w:kern w:val="2"/>
          <w:sz w:val="32"/>
          <w:szCs w:val="32"/>
          <w:lang w:val="zh-CN"/>
        </w:rPr>
      </w:pPr>
    </w:p>
    <w:p>
      <w:pPr>
        <w:widowControl w:val="0"/>
        <w:overflowPunct w:val="0"/>
        <w:snapToGrid/>
        <w:spacing w:after="0" w:line="360" w:lineRule="auto"/>
        <w:contextualSpacing/>
        <w:jc w:val="both"/>
        <w:rPr>
          <w:rFonts w:ascii="宋体" w:hAnsi="宋体" w:eastAsia="宋体" w:cs="Times New Roman"/>
          <w:b/>
          <w:bCs/>
          <w:iCs/>
          <w:color w:val="000000"/>
          <w:kern w:val="2"/>
          <w:sz w:val="28"/>
          <w:szCs w:val="32"/>
          <w:lang w:val="zh-CN"/>
        </w:rPr>
      </w:pPr>
      <w:r>
        <w:rPr>
          <w:rFonts w:hint="eastAsia" w:ascii="宋体" w:hAnsi="宋体" w:eastAsia="宋体" w:cs="Times New Roman"/>
          <w:b/>
          <w:bCs/>
          <w:iCs/>
          <w:color w:val="000000"/>
          <w:kern w:val="2"/>
          <w:sz w:val="28"/>
          <w:szCs w:val="32"/>
          <w:lang w:val="zh-CN"/>
        </w:rPr>
        <w:t>一、嘉宾演讲环节</w:t>
      </w:r>
    </w:p>
    <w:p>
      <w:pPr>
        <w:tabs>
          <w:tab w:val="left" w:pos="2738"/>
        </w:tabs>
        <w:overflowPunct w:val="0"/>
        <w:snapToGrid/>
        <w:spacing w:after="0" w:line="360" w:lineRule="auto"/>
        <w:ind w:firstLine="542" w:firstLineChars="200"/>
        <w:contextualSpacing/>
        <w:jc w:val="both"/>
        <w:outlineLvl w:val="0"/>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b/>
          <w:color w:val="333333"/>
          <w:spacing w:val="15"/>
          <w:sz w:val="24"/>
          <w:szCs w:val="24"/>
          <w:shd w:val="clear" w:color="auto" w:fill="FFFFFF"/>
        </w:rPr>
        <w:t>（一）公司整体情况及战略规划</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美锦能源董事长姚锦龙先生为大家分享了公司三季度经营业绩，2</w:t>
      </w:r>
      <w:r>
        <w:rPr>
          <w:rFonts w:cs="Helvetica" w:asciiTheme="minorEastAsia" w:hAnsiTheme="minorEastAsia" w:eastAsiaTheme="minorEastAsia"/>
          <w:color w:val="333333"/>
          <w:spacing w:val="15"/>
          <w:sz w:val="24"/>
          <w:szCs w:val="24"/>
          <w:shd w:val="clear" w:color="auto" w:fill="FFFFFF"/>
        </w:rPr>
        <w:t>019</w:t>
      </w:r>
      <w:r>
        <w:rPr>
          <w:rFonts w:hint="eastAsia" w:cs="Helvetica" w:asciiTheme="minorEastAsia" w:hAnsiTheme="minorEastAsia" w:eastAsiaTheme="minorEastAsia"/>
          <w:color w:val="333333"/>
          <w:spacing w:val="15"/>
          <w:sz w:val="24"/>
          <w:szCs w:val="24"/>
          <w:shd w:val="clear" w:color="auto" w:fill="FFFFFF"/>
        </w:rPr>
        <w:t>年前三季度营业收入1</w:t>
      </w:r>
      <w:r>
        <w:rPr>
          <w:rFonts w:cs="Helvetica" w:asciiTheme="minorEastAsia" w:hAnsiTheme="minorEastAsia" w:eastAsiaTheme="minorEastAsia"/>
          <w:color w:val="333333"/>
          <w:spacing w:val="15"/>
          <w:sz w:val="24"/>
          <w:szCs w:val="24"/>
          <w:shd w:val="clear" w:color="auto" w:fill="FFFFFF"/>
        </w:rPr>
        <w:t>08</w:t>
      </w:r>
      <w:r>
        <w:rPr>
          <w:rFonts w:hint="eastAsia" w:cs="Helvetica" w:asciiTheme="minorEastAsia" w:hAnsiTheme="minorEastAsia" w:eastAsiaTheme="minorEastAsia"/>
          <w:color w:val="333333"/>
          <w:spacing w:val="15"/>
          <w:sz w:val="24"/>
          <w:szCs w:val="24"/>
          <w:shd w:val="clear" w:color="auto" w:fill="FFFFFF"/>
        </w:rPr>
        <w:t>亿元，归属于母公司的净利润8</w:t>
      </w:r>
      <w:r>
        <w:rPr>
          <w:rFonts w:cs="Helvetica" w:asciiTheme="minorEastAsia" w:hAnsiTheme="minorEastAsia" w:eastAsiaTheme="minorEastAsia"/>
          <w:color w:val="333333"/>
          <w:spacing w:val="15"/>
          <w:sz w:val="24"/>
          <w:szCs w:val="24"/>
          <w:shd w:val="clear" w:color="auto" w:fill="FFFFFF"/>
        </w:rPr>
        <w:t>.25</w:t>
      </w:r>
      <w:r>
        <w:rPr>
          <w:rFonts w:hint="eastAsia" w:cs="Helvetica" w:asciiTheme="minorEastAsia" w:hAnsiTheme="minorEastAsia" w:eastAsiaTheme="minorEastAsia"/>
          <w:color w:val="333333"/>
          <w:spacing w:val="15"/>
          <w:sz w:val="24"/>
          <w:szCs w:val="24"/>
          <w:shd w:val="clear" w:color="auto" w:fill="FFFFFF"/>
        </w:rPr>
        <w:t>亿元。</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传统能源板块：公司在不断完善“煤-焦-气-化”产业链，即将投产的润锦化工将成为明年公司业绩新的增长点。</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氢能板块：公司在氢能板块围绕“一点、一线、一网”的规划进行布局，加氢站等基础设施是当前制约燃料电池汽车推广的重要因素，未来公司会加大投入，布局氢能基础设施的建设。</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电容炭：公司与中科院煤化所已成功研制电容炭，并已建成10吨/年中试线，可连续稳定生产出高质量产品，初步评测技术性能和参数达国际先进水平，可替代进口，打破国外垄断。</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特种机器人：公司将联合盈峰投资研发特种智能机器人，应用于煤矿和焦化等极限工作环境，可大大降低安全隐患，提高工作效率和经济效益。</w:t>
      </w:r>
    </w:p>
    <w:p>
      <w:pPr>
        <w:tabs>
          <w:tab w:val="left" w:pos="2738"/>
        </w:tabs>
        <w:overflowPunct w:val="0"/>
        <w:snapToGrid/>
        <w:spacing w:after="0" w:line="360" w:lineRule="auto"/>
        <w:ind w:firstLine="542" w:firstLineChars="200"/>
        <w:contextualSpacing/>
        <w:jc w:val="both"/>
        <w:outlineLvl w:val="0"/>
        <w:rPr>
          <w:rFonts w:cs="Helvetica" w:asciiTheme="minorEastAsia" w:hAnsiTheme="minorEastAsia" w:eastAsiaTheme="minorEastAsia"/>
          <w:b/>
          <w:color w:val="333333"/>
          <w:spacing w:val="15"/>
          <w:sz w:val="24"/>
          <w:szCs w:val="24"/>
          <w:shd w:val="clear" w:color="auto" w:fill="FFFFFF"/>
        </w:rPr>
      </w:pPr>
      <w:r>
        <w:rPr>
          <w:rFonts w:hint="eastAsia" w:cs="Helvetica" w:asciiTheme="minorEastAsia" w:hAnsiTheme="minorEastAsia" w:eastAsiaTheme="minorEastAsia"/>
          <w:b/>
          <w:color w:val="333333"/>
          <w:spacing w:val="15"/>
          <w:sz w:val="24"/>
          <w:szCs w:val="24"/>
          <w:shd w:val="clear" w:color="auto" w:fill="FFFFFF"/>
        </w:rPr>
        <w:t>（二）焦炭行业未来趋势</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安信证券煤炭行业的首席分析师周泰先生，基于其行业经验，分享了焦化行业的未来的发展趋势，其认为：</w:t>
      </w:r>
    </w:p>
    <w:p>
      <w:pPr>
        <w:pStyle w:val="15"/>
        <w:numPr>
          <w:ilvl w:val="0"/>
          <w:numId w:val="1"/>
        </w:numPr>
        <w:tabs>
          <w:tab w:val="left" w:pos="426"/>
        </w:tabs>
        <w:overflowPunct w:val="0"/>
        <w:snapToGrid/>
        <w:spacing w:after="0" w:line="360" w:lineRule="auto"/>
        <w:ind w:left="0" w:firstLine="426" w:firstLineChars="0"/>
        <w:contextualSpacing/>
        <w:jc w:val="both"/>
        <w:rPr>
          <w:rFonts w:cs="Helvetica" w:asciiTheme="minorEastAsia" w:hAnsiTheme="minorEastAsia" w:eastAsiaTheme="minorEastAsia"/>
          <w:color w:val="333333"/>
          <w:spacing w:val="15"/>
          <w:sz w:val="24"/>
          <w:szCs w:val="24"/>
          <w:shd w:val="clear" w:color="auto" w:fill="FFFFFF"/>
        </w:rPr>
      </w:pPr>
      <w:r>
        <w:rPr>
          <w:rFonts w:cs="Helvetica" w:asciiTheme="minorEastAsia" w:hAnsiTheme="minorEastAsia" w:eastAsiaTheme="minorEastAsia"/>
          <w:color w:val="333333"/>
          <w:spacing w:val="15"/>
          <w:sz w:val="24"/>
          <w:szCs w:val="24"/>
          <w:shd w:val="clear" w:color="auto" w:fill="FFFFFF"/>
        </w:rPr>
        <w:t>焦化行业生产集中度低，中小独立焦炭企业数量多</w:t>
      </w:r>
      <w:r>
        <w:rPr>
          <w:rFonts w:hint="eastAsia" w:cs="Helvetica" w:asciiTheme="minorEastAsia" w:hAnsiTheme="minorEastAsia" w:eastAsiaTheme="minorEastAsia"/>
          <w:color w:val="333333"/>
          <w:spacing w:val="15"/>
          <w:sz w:val="24"/>
          <w:szCs w:val="24"/>
          <w:shd w:val="clear" w:color="auto" w:fill="FFFFFF"/>
        </w:rPr>
        <w:t>。自2016年起，焦化行业的利润开始回升，2</w:t>
      </w:r>
      <w:r>
        <w:rPr>
          <w:rFonts w:cs="Helvetica" w:asciiTheme="minorEastAsia" w:hAnsiTheme="minorEastAsia" w:eastAsiaTheme="minorEastAsia"/>
          <w:color w:val="333333"/>
          <w:spacing w:val="15"/>
          <w:sz w:val="24"/>
          <w:szCs w:val="24"/>
          <w:shd w:val="clear" w:color="auto" w:fill="FFFFFF"/>
        </w:rPr>
        <w:t>018</w:t>
      </w:r>
      <w:r>
        <w:rPr>
          <w:rFonts w:hint="eastAsia" w:cs="Helvetica" w:asciiTheme="minorEastAsia" w:hAnsiTheme="minorEastAsia" w:eastAsiaTheme="minorEastAsia"/>
          <w:color w:val="333333"/>
          <w:spacing w:val="15"/>
          <w:sz w:val="24"/>
          <w:szCs w:val="24"/>
          <w:shd w:val="clear" w:color="auto" w:fill="FFFFFF"/>
        </w:rPr>
        <w:t>年创造了比较好的利润水平。焦化行业的产能利用率达到近9</w:t>
      </w:r>
      <w:r>
        <w:rPr>
          <w:rFonts w:cs="Helvetica" w:asciiTheme="minorEastAsia" w:hAnsiTheme="minorEastAsia" w:eastAsiaTheme="minorEastAsia"/>
          <w:color w:val="333333"/>
          <w:spacing w:val="15"/>
          <w:sz w:val="24"/>
          <w:szCs w:val="24"/>
          <w:shd w:val="clear" w:color="auto" w:fill="FFFFFF"/>
        </w:rPr>
        <w:t>0</w:t>
      </w:r>
      <w:r>
        <w:rPr>
          <w:rFonts w:hint="eastAsia" w:cs="Helvetica" w:asciiTheme="minorEastAsia" w:hAnsiTheme="minorEastAsia" w:eastAsiaTheme="minorEastAsia"/>
          <w:color w:val="333333"/>
          <w:spacing w:val="15"/>
          <w:sz w:val="24"/>
          <w:szCs w:val="24"/>
          <w:shd w:val="clear" w:color="auto" w:fill="FFFFFF"/>
        </w:rPr>
        <w:t>%的水平，对未来焦化行业的盈利能力持乐观态度。</w:t>
      </w:r>
    </w:p>
    <w:p>
      <w:pPr>
        <w:pStyle w:val="15"/>
        <w:numPr>
          <w:ilvl w:val="0"/>
          <w:numId w:val="1"/>
        </w:numPr>
        <w:tabs>
          <w:tab w:val="left" w:pos="426"/>
        </w:tabs>
        <w:overflowPunct w:val="0"/>
        <w:snapToGrid/>
        <w:spacing w:after="0" w:line="360" w:lineRule="auto"/>
        <w:ind w:left="0" w:firstLine="426" w:firstLineChars="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安信证券对行业供需做了比较清晰的测算，今年行业是略过剩的，基本平衡。明年随着行业的去产能，以及需求相对比较稳定，这个行业明年测算的结果是供给偏少要出现缺口。</w:t>
      </w:r>
    </w:p>
    <w:p>
      <w:pPr>
        <w:tabs>
          <w:tab w:val="left" w:pos="2738"/>
        </w:tabs>
        <w:overflowPunct w:val="0"/>
        <w:snapToGrid/>
        <w:spacing w:after="0" w:line="360" w:lineRule="auto"/>
        <w:ind w:firstLine="542" w:firstLineChars="200"/>
        <w:contextualSpacing/>
        <w:jc w:val="both"/>
        <w:outlineLvl w:val="0"/>
        <w:rPr>
          <w:rFonts w:cs="Helvetica" w:asciiTheme="minorEastAsia" w:hAnsiTheme="minorEastAsia" w:eastAsiaTheme="minorEastAsia"/>
          <w:b/>
          <w:color w:val="333333"/>
          <w:spacing w:val="15"/>
          <w:sz w:val="24"/>
          <w:szCs w:val="24"/>
          <w:shd w:val="clear" w:color="auto" w:fill="FFFFFF"/>
        </w:rPr>
      </w:pPr>
      <w:r>
        <w:rPr>
          <w:rFonts w:hint="eastAsia" w:cs="Helvetica" w:asciiTheme="minorEastAsia" w:hAnsiTheme="minorEastAsia" w:eastAsiaTheme="minorEastAsia"/>
          <w:b/>
          <w:color w:val="333333"/>
          <w:spacing w:val="15"/>
          <w:sz w:val="24"/>
          <w:szCs w:val="24"/>
          <w:shd w:val="clear" w:color="auto" w:fill="FFFFFF"/>
        </w:rPr>
        <w:t>（三）燃料电池产业近况及商业模式探讨</w:t>
      </w:r>
    </w:p>
    <w:p>
      <w:pPr>
        <w:pStyle w:val="15"/>
        <w:tabs>
          <w:tab w:val="left" w:pos="567"/>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国金证券研究所董事总经理、国内最早进行新能源汽车研究的资深分析师张帅先生，基于其十四年的证券从业经验及对新能源行业的深度分析和了解，分别从氢能源产业现状、国产化、行业优点进行阐述。张帅认为，目前氢能和燃料电池汽车产业正处于商业应用的起步阶段，</w:t>
      </w:r>
      <w:r>
        <w:rPr>
          <w:rFonts w:cs="Helvetica" w:asciiTheme="minorEastAsia" w:hAnsiTheme="minorEastAsia" w:eastAsiaTheme="minorEastAsia"/>
          <w:color w:val="333333"/>
          <w:spacing w:val="15"/>
          <w:sz w:val="24"/>
          <w:szCs w:val="24"/>
          <w:shd w:val="clear" w:color="auto" w:fill="FFFFFF"/>
        </w:rPr>
        <w:t>2019</w:t>
      </w:r>
      <w:r>
        <w:rPr>
          <w:rFonts w:hint="eastAsia" w:cs="Helvetica" w:asciiTheme="minorEastAsia" w:hAnsiTheme="minorEastAsia" w:eastAsiaTheme="minorEastAsia"/>
          <w:color w:val="333333"/>
          <w:spacing w:val="15"/>
          <w:sz w:val="24"/>
          <w:szCs w:val="24"/>
          <w:shd w:val="clear" w:color="auto" w:fill="FFFFFF"/>
        </w:rPr>
        <w:t>-</w:t>
      </w:r>
      <w:r>
        <w:rPr>
          <w:rFonts w:cs="Helvetica" w:asciiTheme="minorEastAsia" w:hAnsiTheme="minorEastAsia" w:eastAsiaTheme="minorEastAsia"/>
          <w:color w:val="333333"/>
          <w:spacing w:val="15"/>
          <w:sz w:val="24"/>
          <w:szCs w:val="24"/>
          <w:shd w:val="clear" w:color="auto" w:fill="FFFFFF"/>
        </w:rPr>
        <w:t>2020年</w:t>
      </w:r>
      <w:r>
        <w:rPr>
          <w:rFonts w:hint="eastAsia" w:cs="Helvetica" w:asciiTheme="minorEastAsia" w:hAnsiTheme="minorEastAsia" w:eastAsiaTheme="minorEastAsia"/>
          <w:color w:val="333333"/>
          <w:spacing w:val="15"/>
          <w:sz w:val="24"/>
          <w:szCs w:val="24"/>
          <w:shd w:val="clear" w:color="auto" w:fill="FFFFFF"/>
        </w:rPr>
        <w:t>将处于飞速发展的阶段，整个产业将逐步进入爆发的阶段。</w:t>
      </w:r>
    </w:p>
    <w:p>
      <w:pPr>
        <w:widowControl w:val="0"/>
        <w:overflowPunct w:val="0"/>
        <w:snapToGrid/>
        <w:spacing w:after="0" w:line="360" w:lineRule="auto"/>
        <w:ind w:firstLine="542" w:firstLineChars="200"/>
        <w:contextualSpacing/>
        <w:jc w:val="both"/>
        <w:rPr>
          <w:rFonts w:cs="Helvetica" w:asciiTheme="minorEastAsia" w:hAnsiTheme="minorEastAsia" w:eastAsiaTheme="minorEastAsia"/>
          <w:b/>
          <w:color w:val="333333"/>
          <w:spacing w:val="15"/>
          <w:sz w:val="24"/>
          <w:szCs w:val="24"/>
          <w:shd w:val="clear" w:color="auto" w:fill="FFFFFF"/>
        </w:rPr>
      </w:pPr>
      <w:r>
        <w:rPr>
          <w:rFonts w:hint="eastAsia" w:cs="Helvetica" w:asciiTheme="minorEastAsia" w:hAnsiTheme="minorEastAsia" w:eastAsiaTheme="minorEastAsia"/>
          <w:b/>
          <w:color w:val="333333"/>
          <w:spacing w:val="15"/>
          <w:sz w:val="24"/>
          <w:szCs w:val="24"/>
          <w:shd w:val="clear" w:color="auto" w:fill="FFFFFF"/>
        </w:rPr>
        <w:t>（四）飞驰客车在氢能源商用车领域的发展</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公司邀请了佛山市飞驰汽车制造有限公司总经理江勇先生，向与会人员介绍氢能和燃料电池汽车产业在广东佛山、云浮的落地情况。由于美锦能源收购了飞驰汽车51.2%的股权，江勇就飞驰汽车</w:t>
      </w:r>
      <w:r>
        <w:rPr>
          <w:rFonts w:cs="Helvetica" w:asciiTheme="minorEastAsia" w:hAnsiTheme="minorEastAsia" w:eastAsiaTheme="minorEastAsia"/>
          <w:color w:val="333333"/>
          <w:spacing w:val="15"/>
          <w:sz w:val="24"/>
          <w:szCs w:val="24"/>
          <w:shd w:val="clear" w:color="auto" w:fill="FFFFFF"/>
        </w:rPr>
        <w:t>40多年的发展历史、业务板块、</w:t>
      </w:r>
      <w:r>
        <w:rPr>
          <w:rFonts w:hint="eastAsia" w:cs="Helvetica" w:asciiTheme="minorEastAsia" w:hAnsiTheme="minorEastAsia" w:eastAsiaTheme="minorEastAsia"/>
          <w:color w:val="333333"/>
          <w:spacing w:val="15"/>
          <w:sz w:val="24"/>
          <w:szCs w:val="24"/>
          <w:shd w:val="clear" w:color="auto" w:fill="FFFFFF"/>
        </w:rPr>
        <w:t>企业文化等多方面对飞驰汽车的企业情况进行了介绍。</w:t>
      </w:r>
    </w:p>
    <w:p>
      <w:pPr>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江勇认为，国内基础设施建设是制约当前燃料电池车辆推广的核心因素，到今年上半年国内可以使用的加氢站是35座，正在建设和规划的有100多座。国家选择商用车作为应用场景来推广和发展氢能产业，围绕商用车的发展国家也出台了2025年—2030年总的发展目标。从燃料汽车指标要求和变化，到基础设施建设的目标总规划，到2030年加氢站总数达到1000座，国家在新能源汽车应用上面做了很多的研究和布局。</w:t>
      </w:r>
    </w:p>
    <w:p>
      <w:pPr>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飞驰第一批商业运营车辆于2016年10月份投入使用，两条中国最早的示范运营线路到现在已经运行了3年的时间，而且得到了用户的好评。在三年多的示范运营当中得到了大量的数据和应用的经验，对于车辆运行以及运用过程当中的安全性、稳定性、可靠性起到强有力的支持。</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飞驰汽车的9米车也作为中国的燃料电池汽车首先出口到国外马来西亚，首批三辆车已经正式投入运营，明年有投入100多台车的计划。可以说明飞驰客车在燃料电池商用车应用的过程当中，整个市场燃料电池领域给出很多的数据和经验。可以肯定，燃料电池车是未来发展的趋势。</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燃料电池大功率长续航的能力在今后整个应用场景当中不断地延伸扩大。公司最终会走向重卡自卸以及更好的专用车应用的场景，这些方面飞驰都在做相应的安排和布局，2020年到2025年轻中重卡会作为飞驰总体布局的重要产品。</w:t>
      </w:r>
    </w:p>
    <w:p>
      <w:pPr>
        <w:tabs>
          <w:tab w:val="left" w:pos="426"/>
        </w:tabs>
        <w:overflowPunct w:val="0"/>
        <w:snapToGrid/>
        <w:spacing w:after="0" w:line="360" w:lineRule="auto"/>
        <w:ind w:firstLine="452" w:firstLineChars="167"/>
        <w:contextualSpacing/>
        <w:jc w:val="both"/>
        <w:rPr>
          <w:rFonts w:cs="Helvetica" w:asciiTheme="minorEastAsia" w:hAnsiTheme="minorEastAsia" w:eastAsiaTheme="minorEastAsia"/>
          <w:b/>
          <w:bCs/>
          <w:color w:val="333333"/>
          <w:spacing w:val="15"/>
          <w:sz w:val="24"/>
          <w:szCs w:val="24"/>
          <w:shd w:val="clear" w:color="auto" w:fill="FFFFFF"/>
        </w:rPr>
      </w:pPr>
      <w:r>
        <w:rPr>
          <w:rFonts w:hint="eastAsia" w:cs="Helvetica" w:asciiTheme="minorEastAsia" w:hAnsiTheme="minorEastAsia" w:eastAsiaTheme="minorEastAsia"/>
          <w:b/>
          <w:bCs/>
          <w:color w:val="333333"/>
          <w:spacing w:val="15"/>
          <w:sz w:val="24"/>
          <w:szCs w:val="24"/>
          <w:shd w:val="clear" w:color="auto" w:fill="FFFFFF"/>
        </w:rPr>
        <w:t>（五）氢燃料电池技术应用及产业化</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广东国鸿氢能科技有限公司副总经理刘志祥博士，刘志祥博士对于氢燃料应用产业化发表了见解。第一，发展氢燃料电池是国家考虑的战略性问题。第二，氢燃料电池不仅仅可以用于汽车也可以用在发电等其他领域。第三，目前还要从技术上不断完善，降低成本才能推动市场的快速增长。</w:t>
      </w:r>
    </w:p>
    <w:p>
      <w:pPr>
        <w:tabs>
          <w:tab w:val="left" w:pos="426"/>
        </w:tabs>
        <w:overflowPunct w:val="0"/>
        <w:snapToGrid/>
        <w:spacing w:after="0" w:line="360" w:lineRule="auto"/>
        <w:ind w:firstLine="452" w:firstLineChars="167"/>
        <w:contextualSpacing/>
        <w:jc w:val="both"/>
        <w:rPr>
          <w:rFonts w:cs="Helvetica" w:asciiTheme="minorEastAsia" w:hAnsiTheme="minorEastAsia" w:eastAsiaTheme="minorEastAsia"/>
          <w:b/>
          <w:bCs/>
          <w:color w:val="333333"/>
          <w:spacing w:val="15"/>
          <w:sz w:val="24"/>
          <w:szCs w:val="24"/>
          <w:shd w:val="clear" w:color="auto" w:fill="FFFFFF"/>
        </w:rPr>
      </w:pPr>
      <w:r>
        <w:rPr>
          <w:rFonts w:hint="eastAsia" w:cs="Helvetica" w:asciiTheme="minorEastAsia" w:hAnsiTheme="minorEastAsia" w:eastAsiaTheme="minorEastAsia"/>
          <w:b/>
          <w:bCs/>
          <w:color w:val="333333"/>
          <w:spacing w:val="15"/>
          <w:sz w:val="24"/>
          <w:szCs w:val="24"/>
          <w:shd w:val="clear" w:color="auto" w:fill="FFFFFF"/>
        </w:rPr>
        <w:t>（六）高性能燃料电池膜电极产业化</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公司有幸邀请了加拿大国家工程院院士、鸿基创能科技（广州）有限公司首席技术官叶思宇院士。叶思宇院士介绍了鸿基创能团队，产品优势、项目产业化进展情况及未来鸿基创能的发展计划。</w:t>
      </w:r>
    </w:p>
    <w:p>
      <w:pPr>
        <w:tabs>
          <w:tab w:val="left" w:pos="426"/>
        </w:tabs>
        <w:overflowPunct w:val="0"/>
        <w:snapToGrid/>
        <w:spacing w:after="0" w:line="360" w:lineRule="auto"/>
        <w:ind w:firstLine="452" w:firstLineChars="167"/>
        <w:contextualSpacing/>
        <w:jc w:val="both"/>
        <w:rPr>
          <w:rFonts w:cs="Helvetica" w:asciiTheme="minorEastAsia" w:hAnsiTheme="minorEastAsia" w:eastAsiaTheme="minorEastAsia"/>
          <w:b/>
          <w:bCs/>
          <w:color w:val="333333"/>
          <w:spacing w:val="15"/>
          <w:sz w:val="24"/>
          <w:szCs w:val="24"/>
          <w:shd w:val="clear" w:color="auto" w:fill="FFFFFF"/>
        </w:rPr>
      </w:pPr>
      <w:r>
        <w:rPr>
          <w:rFonts w:hint="eastAsia" w:cs="Helvetica" w:asciiTheme="minorEastAsia" w:hAnsiTheme="minorEastAsia" w:eastAsiaTheme="minorEastAsia"/>
          <w:b/>
          <w:bCs/>
          <w:color w:val="333333"/>
          <w:spacing w:val="15"/>
          <w:sz w:val="24"/>
          <w:szCs w:val="24"/>
          <w:shd w:val="clear" w:color="auto" w:fill="FFFFFF"/>
        </w:rPr>
        <w:t>（七）燃料电池测试技术及装备</w:t>
      </w:r>
    </w:p>
    <w:p>
      <w:pPr>
        <w:widowControl w:val="0"/>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公司邀请了群翌能源股份有限公司副总经理陈致源先生，陈致源先后介绍了群翌能源发展历程、群翌能源在行业中的地位以及燃料电池测试技术及装备，并就燃料电池检测技术未来的发展进行了展望。</w:t>
      </w:r>
    </w:p>
    <w:p>
      <w:pPr>
        <w:tabs>
          <w:tab w:val="left" w:pos="426"/>
        </w:tabs>
        <w:overflowPunct w:val="0"/>
        <w:snapToGrid/>
        <w:spacing w:after="0" w:line="360" w:lineRule="auto"/>
        <w:ind w:firstLine="452" w:firstLineChars="167"/>
        <w:contextualSpacing/>
        <w:jc w:val="both"/>
        <w:rPr>
          <w:rFonts w:ascii="宋体" w:hAnsi="宋体" w:eastAsia="宋体" w:cs="Times New Roman"/>
          <w:b/>
          <w:bCs/>
          <w:iCs/>
          <w:color w:val="000000"/>
          <w:kern w:val="2"/>
          <w:sz w:val="24"/>
          <w:szCs w:val="24"/>
        </w:rPr>
      </w:pPr>
      <w:r>
        <w:rPr>
          <w:rFonts w:hint="eastAsia" w:cs="Helvetica" w:asciiTheme="minorEastAsia" w:hAnsiTheme="minorEastAsia" w:eastAsiaTheme="minorEastAsia"/>
          <w:b/>
          <w:bCs/>
          <w:color w:val="333333"/>
          <w:spacing w:val="15"/>
          <w:sz w:val="24"/>
          <w:szCs w:val="24"/>
          <w:shd w:val="clear" w:color="auto" w:fill="FFFFFF"/>
        </w:rPr>
        <w:t>（八）</w:t>
      </w:r>
      <w:r>
        <w:rPr>
          <w:rFonts w:hint="eastAsia" w:ascii="宋体" w:hAnsi="宋体" w:eastAsia="宋体" w:cs="Times New Roman"/>
          <w:b/>
          <w:bCs/>
          <w:iCs/>
          <w:color w:val="000000"/>
          <w:kern w:val="2"/>
          <w:sz w:val="24"/>
          <w:szCs w:val="24"/>
        </w:rPr>
        <w:t>超级电容炭产业化技术攻关进展</w:t>
      </w:r>
    </w:p>
    <w:p>
      <w:pPr>
        <w:tabs>
          <w:tab w:val="left" w:pos="426"/>
        </w:tabs>
        <w:overflowPunct w:val="0"/>
        <w:snapToGrid/>
        <w:spacing w:after="0" w:line="360" w:lineRule="auto"/>
        <w:ind w:firstLine="450" w:firstLineChars="167"/>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中科院山西煤化所、中电标超级电容器工作组标准委员会委员陈成猛博士，陈成猛先后介绍了煤化所的能源与材料研究成果、超级电容器，并就与美锦能源重点合作的电容炭项目的中试及应用测试的进度进行了说明。</w:t>
      </w:r>
    </w:p>
    <w:p>
      <w:pPr>
        <w:tabs>
          <w:tab w:val="left" w:pos="426"/>
        </w:tabs>
        <w:overflowPunct w:val="0"/>
        <w:snapToGrid/>
        <w:spacing w:after="0" w:line="360" w:lineRule="auto"/>
        <w:ind w:firstLine="452" w:firstLineChars="167"/>
        <w:contextualSpacing/>
        <w:jc w:val="both"/>
        <w:rPr>
          <w:rFonts w:cs="Helvetica" w:asciiTheme="minorEastAsia" w:hAnsiTheme="minorEastAsia" w:eastAsiaTheme="minorEastAsia"/>
          <w:b/>
          <w:bCs/>
          <w:color w:val="333333"/>
          <w:spacing w:val="15"/>
          <w:sz w:val="24"/>
          <w:szCs w:val="24"/>
          <w:shd w:val="clear" w:color="auto" w:fill="FFFFFF"/>
        </w:rPr>
      </w:pPr>
      <w:r>
        <w:rPr>
          <w:rFonts w:hint="eastAsia" w:cs="Helvetica" w:asciiTheme="minorEastAsia" w:hAnsiTheme="minorEastAsia" w:eastAsiaTheme="minorEastAsia"/>
          <w:b/>
          <w:bCs/>
          <w:color w:val="333333"/>
          <w:spacing w:val="15"/>
          <w:sz w:val="24"/>
          <w:szCs w:val="24"/>
          <w:shd w:val="clear" w:color="auto" w:fill="FFFFFF"/>
        </w:rPr>
        <w:t>（九）以机器人与自动化赋能 带动能源产业的新革命</w:t>
      </w:r>
    </w:p>
    <w:p>
      <w:pPr>
        <w:tabs>
          <w:tab w:val="left" w:pos="2738"/>
        </w:tabs>
        <w:overflowPunct w:val="0"/>
        <w:snapToGrid/>
        <w:spacing w:after="0" w:line="360" w:lineRule="auto"/>
        <w:ind w:firstLine="540" w:firstLineChars="200"/>
        <w:contextualSpacing/>
        <w:jc w:val="both"/>
        <w:rPr>
          <w:rFonts w:cs="Helvetica" w:asciiTheme="minorEastAsia" w:hAnsiTheme="minorEastAsia" w:eastAsiaTheme="minorEastAsia"/>
          <w:color w:val="333333"/>
          <w:spacing w:val="15"/>
          <w:sz w:val="24"/>
          <w:szCs w:val="24"/>
          <w:shd w:val="clear" w:color="auto" w:fill="FFFFFF"/>
        </w:rPr>
      </w:pPr>
      <w:r>
        <w:rPr>
          <w:rFonts w:hint="eastAsia" w:cs="Helvetica" w:asciiTheme="minorEastAsia" w:hAnsiTheme="minorEastAsia" w:eastAsiaTheme="minorEastAsia"/>
          <w:color w:val="333333"/>
          <w:spacing w:val="15"/>
          <w:sz w:val="24"/>
          <w:szCs w:val="24"/>
          <w:shd w:val="clear" w:color="auto" w:fill="FFFFFF"/>
        </w:rPr>
        <w:t>公司邀请了盈峰投资总经理陈志辉先生，陈志辉先生先后介绍了盈峰集团、盈峰投资在机器人和自动化高精尖技术投资的案例，并表示希望盈峰投资借助自动化先进的技术，结合美锦能源在这个传统能源领域非常深厚的场景资源，提升或者改善目前煤矿采集现状。</w:t>
      </w:r>
    </w:p>
    <w:p>
      <w:pPr>
        <w:widowControl w:val="0"/>
        <w:overflowPunct w:val="0"/>
        <w:snapToGrid/>
        <w:spacing w:after="0" w:line="360" w:lineRule="auto"/>
        <w:contextualSpacing/>
        <w:jc w:val="both"/>
        <w:rPr>
          <w:rFonts w:cs="Helvetica" w:asciiTheme="minorEastAsia" w:hAnsiTheme="minorEastAsia" w:eastAsiaTheme="minorEastAsia"/>
          <w:b/>
          <w:color w:val="333333"/>
          <w:spacing w:val="15"/>
          <w:sz w:val="24"/>
          <w:szCs w:val="24"/>
          <w:shd w:val="clear" w:color="auto" w:fill="FFFFFF"/>
        </w:rPr>
      </w:pPr>
      <w:r>
        <w:rPr>
          <w:rFonts w:hint="eastAsia" w:cs="Helvetica" w:asciiTheme="minorEastAsia" w:hAnsiTheme="minorEastAsia" w:eastAsiaTheme="minorEastAsia"/>
          <w:b/>
          <w:color w:val="333333"/>
          <w:spacing w:val="15"/>
          <w:sz w:val="24"/>
          <w:szCs w:val="24"/>
          <w:shd w:val="clear" w:color="auto" w:fill="FFFFFF"/>
        </w:rPr>
        <w:t>二、问答环节</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Q：可否介绍一下公司目前涉及氢能源主要公司的发展历程中的里程碑事件和技术优势？</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中国新能源车辆的财政补贴是从2010年“十城千辆”计划实施时开始推动，一开始燃料电池车辆就被纳入到补贴的范畴里面去，最早很简单商用车50万，轻中卡30万，乘用车20万。当时测算是到2020年全中国才能有1000辆燃料电池车辆的推广规模，但是真正商业化、规模化是从2016年由飞驰承担的。2017年9月份，中国第一条真正的燃料电池车辆商业化大巴线路运营一共是28辆，一期投入12辆。另外还有非常有价值的是去年国鸿和飞驰合作拿到当时全球最大燃料电池汽车订单-300辆燃料电池客车，而且目前已经有绝大部分投入实际的运营。</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燃料电池的生产制造涉及诸多领域，一个是材料学，国产的材料与国外差距很大，包括催化剂石墨板材料，包括金属板的材料，甚至树脂合成差距是非常大的。第二个工艺学，上海世博会某国内公司做了100台氢能的车，它的燃料电池里面全部要装巡检系统。因为当时国产电堆在生产工艺过程当中无法做到每一片单电池一致性，燃料电池适用于木桶原理，一块电池出现问题整个电堆都会出现影响，必须要做到巡检。巴拉德的所有电池不做巡检，因为巴拉德生产出来的电堆一致性可以得到保证。这说明他们生产的工艺水平这种水平高，是来自于37年的积累。国内企业对电池的认知度远远达不到这个水平，2016年5月份国鸿氢能和巴拉德合作，对整个中国新能源产业有极大的促进。</w:t>
      </w:r>
    </w:p>
    <w:p>
      <w:pPr>
        <w:overflowPunct w:val="0"/>
        <w:snapToGrid/>
        <w:spacing w:after="0" w:line="360" w:lineRule="auto"/>
        <w:ind w:firstLine="566" w:firstLineChars="236"/>
        <w:contextualSpacing/>
        <w:jc w:val="both"/>
        <w:rPr>
          <w:rFonts w:ascii="宋体" w:hAnsi="宋体" w:eastAsia="宋体" w:cs="宋体"/>
          <w:sz w:val="24"/>
        </w:rPr>
      </w:pP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Q：公司控股股东美锦集团最近结束了减持计划，后续减持有没有规划？公司有没有潜在并购的这些规划？产业链上面还有没有一些布局？</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减持是集团层面的事情，现在由于美锦集团在发展过程当中投资的方向比较多，另外民营企业融资难、融资贵、融资时间长这个情况长期存在。美锦集团在去年开始化解融资压力大的问题。第一是债转股。第二个处置资产。第三个方面减持，美锦集团对上市公司持股比例超过70%，按照减持新规通过二级市场集中竞价进行减持，再就是大宗交易，还有协议转让，采取一系列的措施逐步降低负债比例，进而降低资金压力，轻装上阵帮助上市公司加快发展。后续主要做法是通过协议转让的方式来降低负债率，让大股东在资金层面保持很好的流通性。</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今天请各位演讲嘉宾来参加交流会，其实我们在某种程度上已经合作了，包括重点提到的飞驰、国鸿，将来还会在各地进行有计划落地。公司会把同一个行业不同环节独立分拆，或者以公司为主导，以参股的形式会逐步往前推。</w:t>
      </w:r>
    </w:p>
    <w:p>
      <w:pPr>
        <w:overflowPunct w:val="0"/>
        <w:snapToGrid/>
        <w:spacing w:after="0" w:line="360" w:lineRule="auto"/>
        <w:ind w:firstLine="566" w:firstLineChars="236"/>
        <w:contextualSpacing/>
        <w:jc w:val="both"/>
        <w:rPr>
          <w:rFonts w:ascii="宋体" w:hAnsi="宋体" w:eastAsia="宋体" w:cs="宋体"/>
          <w:sz w:val="24"/>
        </w:rPr>
      </w:pPr>
      <w:r>
        <w:rPr>
          <w:rFonts w:ascii="宋体" w:hAnsi="宋体" w:eastAsia="宋体" w:cs="宋体"/>
          <w:sz w:val="24"/>
        </w:rPr>
        <w:t xml:space="preserve"> </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Q：今年飞驰客车在出货这一块有多少销量，国鸿电堆在什么水平，在明年整个销售的规划大概是什么样的计划？</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A：去年国鸿氢能的电堆在市场上占有率不超过70%，去年登记车辆数是1500多辆。今年国鸿氢能的电堆市场占有率应该还会在70%—80%之间。</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今年上半年，飞驰汽车已销售的燃料电池车辆在300辆左右，今年年底还会有大量的订单。明年根据产业情况的发展，加氢站建设不断的完善，国家政策的出台，明年我们飞驰汽车的产能1500—2000台这个目标。</w:t>
      </w:r>
    </w:p>
    <w:p>
      <w:pPr>
        <w:overflowPunct w:val="0"/>
        <w:snapToGrid/>
        <w:spacing w:after="0" w:line="360" w:lineRule="auto"/>
        <w:ind w:firstLine="566" w:firstLineChars="236"/>
        <w:contextualSpacing/>
        <w:jc w:val="both"/>
        <w:rPr>
          <w:rFonts w:ascii="宋体" w:hAnsi="宋体" w:eastAsia="宋体" w:cs="宋体"/>
          <w:sz w:val="24"/>
        </w:rPr>
      </w:pP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Q：美锦在焦化产业打算如何发展？</w:t>
      </w:r>
      <w:r>
        <w:rPr>
          <w:rFonts w:ascii="宋体" w:hAnsi="宋体" w:eastAsia="宋体" w:cs="宋体"/>
          <w:sz w:val="24"/>
        </w:rPr>
        <w:t xml:space="preserve"> </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A：华盛化工400万吨/年焦化项目正在建设中，建成后将会巩固美锦能源在焦化领域的地位。目前项目正在等环评结果，公司将争取在2020年年底前投产。</w:t>
      </w:r>
    </w:p>
    <w:p>
      <w:pPr>
        <w:overflowPunct w:val="0"/>
        <w:snapToGrid/>
        <w:spacing w:after="0" w:line="360" w:lineRule="auto"/>
        <w:ind w:firstLine="566" w:firstLineChars="236"/>
        <w:contextualSpacing/>
        <w:jc w:val="both"/>
        <w:rPr>
          <w:rFonts w:ascii="宋体" w:hAnsi="宋体" w:eastAsia="宋体" w:cs="宋体"/>
          <w:sz w:val="24"/>
        </w:rPr>
      </w:pP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Q：氢领域进入的企业越来越多，包括最近其他牵头中石油，更多的这些国企的巨头进来，你对未来行业的格局，这些国企对于产业链的重塑影响有什么展望，高层有一些意图或者有政策上的期待吗？</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2016年、2017年若干地方政府推动这个产业，到今天可以看到很多大型的央企纷纷地布局。燃料电池在这个行业发展过程当中有几个很关键的点，也是卡着这个行业发展的要素，第一大要素就是加氢站。2015年行业内就不断地呼吁中石化、中石油等等央企参与到电池行业里面去，让他们承担起基础设施的建设跟网络建设，很可喜的是各大央企已经在氢能产业布局了，比如中石油、中石化承担主要是加氢站的投资与加氢网络的形成。所以说这个产业的发展令人期待。</w:t>
      </w:r>
    </w:p>
    <w:p>
      <w:pPr>
        <w:overflowPunct w:val="0"/>
        <w:snapToGrid/>
        <w:spacing w:after="0" w:line="360" w:lineRule="auto"/>
        <w:ind w:firstLine="566" w:firstLineChars="236"/>
        <w:contextualSpacing/>
        <w:jc w:val="both"/>
        <w:rPr>
          <w:rFonts w:ascii="宋体" w:hAnsi="宋体" w:eastAsia="宋体" w:cs="宋体"/>
          <w:sz w:val="24"/>
        </w:rPr>
      </w:pP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Q：公司在传统的焦化有400万吨产能的扩张，氢能产业园也是上百亿的扩张，请问公司投资的资金来源。</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A：新建焦炭产能它更多意义上是产能置换，根据《山西省焦化产业布局意见》、《山西省人民政府办公厅关于印发山西省焦化产业打好污染防治攻坚战推动转型升级实施方案的通知》，山西省焦化行业正按照“退城入园”、“产能置换”以及“上大关小”等方式，推进焦化行业产能升级工作。为落实转型升级的要求，成立了清徐精细化工循环产业园。园区项目是响应能源革命的新材料项目，是符合山西省转型升级要求的，也符合太原市总体规划要求，代表了能源和材料行业的发展方向。</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资金方面，对于华盛化工新型焦化项目，公司会通过自有资金加上成熟的资本市场的融资手段，利用发债、定向增发等融资手段，因为投入额度不是非常大，通过定增的方式加上自有资金就可以解决。</w:t>
      </w:r>
    </w:p>
    <w:p>
      <w:pPr>
        <w:overflowPunct w:val="0"/>
        <w:snapToGrid/>
        <w:spacing w:after="0" w:line="360" w:lineRule="auto"/>
        <w:ind w:firstLine="566" w:firstLineChars="236"/>
        <w:contextualSpacing/>
        <w:jc w:val="both"/>
        <w:rPr>
          <w:rFonts w:ascii="宋体" w:hAnsi="宋体" w:eastAsia="宋体" w:cs="宋体"/>
          <w:sz w:val="24"/>
        </w:rPr>
      </w:pPr>
      <w:r>
        <w:rPr>
          <w:rFonts w:hint="eastAsia" w:ascii="宋体" w:hAnsi="宋体" w:eastAsia="宋体" w:cs="宋体"/>
          <w:sz w:val="24"/>
        </w:rPr>
        <w:t>对嘉兴和青岛两个百亿产业园的建设，它是8—10年甚至更长的投资周期，公司会随着氢能产业的成熟和社会的运用程度逐步投入完善产业链和产业环节。再加上当地政府的支持，当地产业基金支持共同推动。所以产业园的建设要借助各方资本的力量来共同推动这个事情，只靠公司每年的利润是不行的。</w:t>
      </w:r>
    </w:p>
    <w:p>
      <w:pPr>
        <w:adjustRightInd/>
        <w:snapToGrid/>
        <w:spacing w:after="0" w:line="360" w:lineRule="auto"/>
        <w:ind w:firstLine="566" w:firstLineChars="236"/>
        <w:contextualSpacing/>
        <w:rPr>
          <w:rFonts w:ascii="Helvetica" w:hAnsi="Helvetica" w:cs="Helvetica"/>
          <w:color w:val="333333"/>
          <w:spacing w:val="15"/>
          <w:sz w:val="24"/>
          <w:szCs w:val="21"/>
          <w:shd w:val="clear" w:color="auto" w:fill="FFFFFF"/>
        </w:rPr>
      </w:pPr>
      <w:r>
        <w:rPr>
          <w:rFonts w:ascii="宋体" w:hAnsi="宋体" w:eastAsia="宋体" w:cs="宋体"/>
          <w:sz w:val="24"/>
        </w:rPr>
        <w:t xml:space="preserve">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7051A"/>
    <w:multiLevelType w:val="multilevel"/>
    <w:tmpl w:val="5747051A"/>
    <w:lvl w:ilvl="0" w:tentative="0">
      <w:start w:val="1"/>
      <w:numFmt w:val="decimal"/>
      <w:lvlText w:val="%1."/>
      <w:lvlJc w:val="left"/>
      <w:pPr>
        <w:ind w:left="785" w:hanging="360"/>
      </w:pPr>
      <w:rPr>
        <w:rFonts w:hint="eastAsia"/>
      </w:rPr>
    </w:lvl>
    <w:lvl w:ilvl="1" w:tentative="0">
      <w:start w:val="1"/>
      <w:numFmt w:val="lowerLetter"/>
      <w:lvlText w:val="%2)"/>
      <w:lvlJc w:val="left"/>
      <w:pPr>
        <w:ind w:left="1470" w:hanging="480"/>
      </w:pPr>
    </w:lvl>
    <w:lvl w:ilvl="2" w:tentative="0">
      <w:start w:val="1"/>
      <w:numFmt w:val="lowerRoman"/>
      <w:lvlText w:val="%3."/>
      <w:lvlJc w:val="right"/>
      <w:pPr>
        <w:ind w:left="1950" w:hanging="480"/>
      </w:pPr>
    </w:lvl>
    <w:lvl w:ilvl="3" w:tentative="0">
      <w:start w:val="1"/>
      <w:numFmt w:val="decimal"/>
      <w:lvlText w:val="%4."/>
      <w:lvlJc w:val="left"/>
      <w:pPr>
        <w:ind w:left="2430" w:hanging="480"/>
      </w:pPr>
    </w:lvl>
    <w:lvl w:ilvl="4" w:tentative="0">
      <w:start w:val="1"/>
      <w:numFmt w:val="lowerLetter"/>
      <w:lvlText w:val="%5)"/>
      <w:lvlJc w:val="left"/>
      <w:pPr>
        <w:ind w:left="2910" w:hanging="480"/>
      </w:pPr>
    </w:lvl>
    <w:lvl w:ilvl="5" w:tentative="0">
      <w:start w:val="1"/>
      <w:numFmt w:val="lowerRoman"/>
      <w:lvlText w:val="%6."/>
      <w:lvlJc w:val="right"/>
      <w:pPr>
        <w:ind w:left="3390" w:hanging="480"/>
      </w:pPr>
    </w:lvl>
    <w:lvl w:ilvl="6" w:tentative="0">
      <w:start w:val="1"/>
      <w:numFmt w:val="decimal"/>
      <w:lvlText w:val="%7."/>
      <w:lvlJc w:val="left"/>
      <w:pPr>
        <w:ind w:left="3870" w:hanging="480"/>
      </w:pPr>
    </w:lvl>
    <w:lvl w:ilvl="7" w:tentative="0">
      <w:start w:val="1"/>
      <w:numFmt w:val="lowerLetter"/>
      <w:lvlText w:val="%8)"/>
      <w:lvlJc w:val="left"/>
      <w:pPr>
        <w:ind w:left="4350" w:hanging="480"/>
      </w:pPr>
    </w:lvl>
    <w:lvl w:ilvl="8" w:tentative="0">
      <w:start w:val="1"/>
      <w:numFmt w:val="lowerRoman"/>
      <w:lvlText w:val="%9."/>
      <w:lvlJc w:val="right"/>
      <w:pPr>
        <w:ind w:left="483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22CFC"/>
    <w:rsid w:val="00034AD3"/>
    <w:rsid w:val="00091326"/>
    <w:rsid w:val="000A3912"/>
    <w:rsid w:val="000B59A1"/>
    <w:rsid w:val="000C3739"/>
    <w:rsid w:val="000C52FC"/>
    <w:rsid w:val="000E047D"/>
    <w:rsid w:val="000F0D31"/>
    <w:rsid w:val="001059F5"/>
    <w:rsid w:val="001761B5"/>
    <w:rsid w:val="00184F27"/>
    <w:rsid w:val="001A0344"/>
    <w:rsid w:val="001A0F77"/>
    <w:rsid w:val="001B1A05"/>
    <w:rsid w:val="001C47D5"/>
    <w:rsid w:val="001D0CA0"/>
    <w:rsid w:val="001D177F"/>
    <w:rsid w:val="001F27DA"/>
    <w:rsid w:val="00206A40"/>
    <w:rsid w:val="00253804"/>
    <w:rsid w:val="00273B15"/>
    <w:rsid w:val="00283E9C"/>
    <w:rsid w:val="002A0B9C"/>
    <w:rsid w:val="002C7144"/>
    <w:rsid w:val="002F1D5D"/>
    <w:rsid w:val="00323B43"/>
    <w:rsid w:val="00330DAC"/>
    <w:rsid w:val="00395333"/>
    <w:rsid w:val="003B5A90"/>
    <w:rsid w:val="003D37D8"/>
    <w:rsid w:val="00416C6F"/>
    <w:rsid w:val="00422305"/>
    <w:rsid w:val="00426133"/>
    <w:rsid w:val="004358AB"/>
    <w:rsid w:val="0045418D"/>
    <w:rsid w:val="00490A61"/>
    <w:rsid w:val="004A7C6C"/>
    <w:rsid w:val="004B4B31"/>
    <w:rsid w:val="004C17DD"/>
    <w:rsid w:val="004D3E33"/>
    <w:rsid w:val="004F2115"/>
    <w:rsid w:val="00506208"/>
    <w:rsid w:val="00511BBB"/>
    <w:rsid w:val="00513C78"/>
    <w:rsid w:val="00521A49"/>
    <w:rsid w:val="005732C0"/>
    <w:rsid w:val="005C2A9D"/>
    <w:rsid w:val="00604BF2"/>
    <w:rsid w:val="00611FE3"/>
    <w:rsid w:val="00642C09"/>
    <w:rsid w:val="0066219F"/>
    <w:rsid w:val="006A39DC"/>
    <w:rsid w:val="006A7C78"/>
    <w:rsid w:val="006C2CF1"/>
    <w:rsid w:val="00710161"/>
    <w:rsid w:val="00720A2D"/>
    <w:rsid w:val="0072796C"/>
    <w:rsid w:val="007319C3"/>
    <w:rsid w:val="0073692A"/>
    <w:rsid w:val="00757AB3"/>
    <w:rsid w:val="00763E6F"/>
    <w:rsid w:val="007850F1"/>
    <w:rsid w:val="007D39A6"/>
    <w:rsid w:val="007F5DF4"/>
    <w:rsid w:val="00801740"/>
    <w:rsid w:val="00813D74"/>
    <w:rsid w:val="00861F43"/>
    <w:rsid w:val="008644FC"/>
    <w:rsid w:val="00867944"/>
    <w:rsid w:val="008B611F"/>
    <w:rsid w:val="008B7726"/>
    <w:rsid w:val="008D7910"/>
    <w:rsid w:val="00952BAF"/>
    <w:rsid w:val="00982E04"/>
    <w:rsid w:val="009E113B"/>
    <w:rsid w:val="00A011C4"/>
    <w:rsid w:val="00A365C8"/>
    <w:rsid w:val="00A90C0D"/>
    <w:rsid w:val="00AA39D3"/>
    <w:rsid w:val="00AA4738"/>
    <w:rsid w:val="00AD3DC8"/>
    <w:rsid w:val="00AF4D8C"/>
    <w:rsid w:val="00B034C4"/>
    <w:rsid w:val="00B23E31"/>
    <w:rsid w:val="00B5048A"/>
    <w:rsid w:val="00B57F71"/>
    <w:rsid w:val="00B65997"/>
    <w:rsid w:val="00B67188"/>
    <w:rsid w:val="00B776E0"/>
    <w:rsid w:val="00B847C7"/>
    <w:rsid w:val="00B84B5A"/>
    <w:rsid w:val="00B9778C"/>
    <w:rsid w:val="00BA652D"/>
    <w:rsid w:val="00C05047"/>
    <w:rsid w:val="00C224F7"/>
    <w:rsid w:val="00C30EC5"/>
    <w:rsid w:val="00C42336"/>
    <w:rsid w:val="00C67B75"/>
    <w:rsid w:val="00C71E7C"/>
    <w:rsid w:val="00CB1FC3"/>
    <w:rsid w:val="00CB6388"/>
    <w:rsid w:val="00CC3780"/>
    <w:rsid w:val="00CD1D7E"/>
    <w:rsid w:val="00CF680F"/>
    <w:rsid w:val="00CF7601"/>
    <w:rsid w:val="00D22204"/>
    <w:rsid w:val="00D253E6"/>
    <w:rsid w:val="00D31D50"/>
    <w:rsid w:val="00D448D4"/>
    <w:rsid w:val="00D50FFA"/>
    <w:rsid w:val="00D63966"/>
    <w:rsid w:val="00E16E61"/>
    <w:rsid w:val="00E24FBD"/>
    <w:rsid w:val="00E37E5F"/>
    <w:rsid w:val="00E45F37"/>
    <w:rsid w:val="00ED228F"/>
    <w:rsid w:val="00EE20ED"/>
    <w:rsid w:val="00EF09E4"/>
    <w:rsid w:val="00F12EBC"/>
    <w:rsid w:val="00F14777"/>
    <w:rsid w:val="00F204E5"/>
    <w:rsid w:val="00F26E04"/>
    <w:rsid w:val="00FC0B4D"/>
    <w:rsid w:val="00FD0C63"/>
    <w:rsid w:val="00FD6A49"/>
    <w:rsid w:val="00FE0754"/>
    <w:rsid w:val="00FE0F12"/>
    <w:rsid w:val="00FE3768"/>
    <w:rsid w:val="00FE7C90"/>
    <w:rsid w:val="15F3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6"/>
    <w:semiHidden/>
    <w:unhideWhenUsed/>
    <w:uiPriority w:val="99"/>
    <w:rPr>
      <w:rFonts w:ascii="宋体" w:eastAsia="宋体"/>
      <w:sz w:val="24"/>
      <w:szCs w:val="24"/>
    </w:rPr>
  </w:style>
  <w:style w:type="paragraph" w:styleId="4">
    <w:name w:val="annotation text"/>
    <w:basedOn w:val="1"/>
    <w:link w:val="18"/>
    <w:semiHidden/>
    <w:unhideWhenUsed/>
    <w:uiPriority w:val="99"/>
  </w:style>
  <w:style w:type="paragraph" w:styleId="5">
    <w:name w:val="Balloon Text"/>
    <w:basedOn w:val="1"/>
    <w:link w:val="12"/>
    <w:semiHidden/>
    <w:unhideWhenUsed/>
    <w:uiPriority w:val="99"/>
    <w:pPr>
      <w:spacing w:after="0"/>
    </w:pPr>
    <w:rPr>
      <w:sz w:val="18"/>
      <w:szCs w:val="18"/>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jc w:val="center"/>
    </w:pPr>
    <w:rPr>
      <w:sz w:val="18"/>
      <w:szCs w:val="18"/>
    </w:rPr>
  </w:style>
  <w:style w:type="paragraph" w:styleId="8">
    <w:name w:val="annotation subject"/>
    <w:basedOn w:val="4"/>
    <w:next w:val="4"/>
    <w:link w:val="19"/>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批注框文本 字符"/>
    <w:basedOn w:val="10"/>
    <w:link w:val="5"/>
    <w:semiHidden/>
    <w:uiPriority w:val="99"/>
    <w:rPr>
      <w:rFonts w:ascii="Tahoma" w:hAnsi="Tahoma"/>
      <w:sz w:val="18"/>
      <w:szCs w:val="18"/>
    </w:rPr>
  </w:style>
  <w:style w:type="character" w:customStyle="1" w:styleId="13">
    <w:name w:val="页眉 字符"/>
    <w:basedOn w:val="10"/>
    <w:link w:val="7"/>
    <w:qFormat/>
    <w:uiPriority w:val="99"/>
    <w:rPr>
      <w:rFonts w:ascii="Tahoma" w:hAnsi="Tahoma"/>
      <w:sz w:val="18"/>
      <w:szCs w:val="18"/>
    </w:rPr>
  </w:style>
  <w:style w:type="character" w:customStyle="1" w:styleId="14">
    <w:name w:val="页脚 字符"/>
    <w:basedOn w:val="10"/>
    <w:link w:val="6"/>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文档结构图 字符"/>
    <w:basedOn w:val="10"/>
    <w:link w:val="3"/>
    <w:semiHidden/>
    <w:uiPriority w:val="99"/>
    <w:rPr>
      <w:rFonts w:ascii="宋体" w:hAnsi="Tahoma" w:eastAsia="宋体"/>
      <w:sz w:val="24"/>
      <w:szCs w:val="24"/>
    </w:rPr>
  </w:style>
  <w:style w:type="character" w:customStyle="1" w:styleId="17">
    <w:name w:val="标题 2 字符"/>
    <w:basedOn w:val="10"/>
    <w:link w:val="2"/>
    <w:uiPriority w:val="9"/>
    <w:rPr>
      <w:rFonts w:asciiTheme="majorHAnsi" w:hAnsiTheme="majorHAnsi" w:eastAsiaTheme="majorEastAsia" w:cstheme="majorBidi"/>
      <w:b/>
      <w:bCs/>
      <w:sz w:val="32"/>
      <w:szCs w:val="32"/>
    </w:rPr>
  </w:style>
  <w:style w:type="character" w:customStyle="1" w:styleId="18">
    <w:name w:val="批注文字 字符"/>
    <w:basedOn w:val="10"/>
    <w:link w:val="4"/>
    <w:semiHidden/>
    <w:uiPriority w:val="99"/>
    <w:rPr>
      <w:rFonts w:ascii="Tahoma" w:hAnsi="Tahoma"/>
    </w:rPr>
  </w:style>
  <w:style w:type="character" w:customStyle="1" w:styleId="19">
    <w:name w:val="批注主题 字符"/>
    <w:basedOn w:val="18"/>
    <w:link w:val="8"/>
    <w:semiHidden/>
    <w:uiPriority w:val="99"/>
    <w:rPr>
      <w:rFonts w:ascii="Tahoma" w:hAnsi="Tahoma"/>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ADC6E-4266-4725-A39D-59478B8D2E8D}">
  <ds:schemaRefs/>
</ds:datastoreItem>
</file>

<file path=docProps/app.xml><?xml version="1.0" encoding="utf-8"?>
<Properties xmlns="http://schemas.openxmlformats.org/officeDocument/2006/extended-properties" xmlns:vt="http://schemas.openxmlformats.org/officeDocument/2006/docPropsVTypes">
  <Template>Normal.dotm</Template>
  <Pages>8</Pages>
  <Words>746</Words>
  <Characters>4256</Characters>
  <Lines>35</Lines>
  <Paragraphs>9</Paragraphs>
  <TotalTime>40</TotalTime>
  <ScaleCrop>false</ScaleCrop>
  <LinksUpToDate>false</LinksUpToDate>
  <CharactersWithSpaces>4993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2019-11-23T10:27:00Z</dcterms:created>
  <dc:creator>hou tao</dc:creator>
  <cp:lastModifiedBy>鱼缺锋angel</cp:lastModifiedBy>
  <cp:lastPrinted>2019-11-22T09:09:00Z</cp:lastPrinted>
  <dcterms:modified xsi:type="dcterms:W3CDTF">2019-11-24T03:10:13Z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