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DA1BA" w14:textId="77777777" w:rsidR="00E142EE" w:rsidRDefault="00E142EE" w:rsidP="00E142EE">
      <w:pPr>
        <w:pStyle w:val="Default"/>
        <w:rPr>
          <w:rFonts w:hAnsi="宋体"/>
          <w:b/>
        </w:rPr>
      </w:pPr>
      <w:r w:rsidRPr="00377D32">
        <w:rPr>
          <w:rFonts w:hAnsi="宋体" w:hint="eastAsia"/>
          <w:b/>
        </w:rPr>
        <w:t>证券代码：</w:t>
      </w:r>
      <w:r w:rsidRPr="00377D32">
        <w:rPr>
          <w:rFonts w:hAnsi="宋体"/>
          <w:b/>
        </w:rPr>
        <w:t>002</w:t>
      </w:r>
      <w:r w:rsidR="008E08F6">
        <w:rPr>
          <w:rFonts w:hAnsi="宋体" w:hint="eastAsia"/>
          <w:b/>
        </w:rPr>
        <w:t xml:space="preserve">837  </w:t>
      </w:r>
      <w:r w:rsidRPr="00377D32">
        <w:rPr>
          <w:rFonts w:hAnsi="宋体" w:hint="eastAsia"/>
          <w:b/>
        </w:rPr>
        <w:t xml:space="preserve">  </w:t>
      </w:r>
      <w:r w:rsidR="00377D32" w:rsidRPr="00377D32">
        <w:rPr>
          <w:rFonts w:hAnsi="宋体" w:hint="eastAsia"/>
          <w:b/>
        </w:rPr>
        <w:t xml:space="preserve">                      </w:t>
      </w:r>
      <w:r w:rsidR="0035588F">
        <w:rPr>
          <w:rFonts w:hAnsi="宋体" w:hint="eastAsia"/>
          <w:b/>
        </w:rPr>
        <w:t xml:space="preserve">    </w:t>
      </w:r>
      <w:r w:rsidR="00B77D18" w:rsidRPr="00377D32">
        <w:rPr>
          <w:rFonts w:hAnsi="宋体" w:hint="eastAsia"/>
          <w:b/>
        </w:rPr>
        <w:t xml:space="preserve">    </w:t>
      </w:r>
      <w:r w:rsidRPr="00377D32">
        <w:rPr>
          <w:rFonts w:hAnsi="宋体" w:hint="eastAsia"/>
          <w:b/>
        </w:rPr>
        <w:t xml:space="preserve">  证券简称：</w:t>
      </w:r>
      <w:r w:rsidR="008E08F6">
        <w:rPr>
          <w:rFonts w:hAnsi="宋体" w:hint="eastAsia"/>
          <w:b/>
        </w:rPr>
        <w:t>英维克</w:t>
      </w:r>
    </w:p>
    <w:p w14:paraId="15B246E5" w14:textId="77777777" w:rsidR="008E08F6" w:rsidRPr="0035588F" w:rsidRDefault="008E08F6" w:rsidP="00E142EE">
      <w:pPr>
        <w:pStyle w:val="Default"/>
        <w:rPr>
          <w:rFonts w:hAnsi="宋体"/>
        </w:rPr>
      </w:pPr>
    </w:p>
    <w:p w14:paraId="73568F5D" w14:textId="77777777" w:rsidR="00E142EE" w:rsidRPr="00377D32" w:rsidRDefault="00E50BF1" w:rsidP="00E50BF1">
      <w:pPr>
        <w:pStyle w:val="Default"/>
        <w:jc w:val="center"/>
        <w:rPr>
          <w:b/>
          <w:sz w:val="30"/>
          <w:szCs w:val="30"/>
        </w:rPr>
      </w:pPr>
      <w:r w:rsidRPr="00377D32">
        <w:rPr>
          <w:rFonts w:hint="eastAsia"/>
          <w:b/>
          <w:sz w:val="30"/>
          <w:szCs w:val="30"/>
        </w:rPr>
        <w:t>深圳市</w:t>
      </w:r>
      <w:r w:rsidR="008E08F6">
        <w:rPr>
          <w:rFonts w:hint="eastAsia"/>
          <w:b/>
          <w:sz w:val="30"/>
          <w:szCs w:val="30"/>
        </w:rPr>
        <w:t>英维克科技</w:t>
      </w:r>
      <w:r w:rsidRPr="00377D32">
        <w:rPr>
          <w:rFonts w:hint="eastAsia"/>
          <w:b/>
          <w:sz w:val="30"/>
          <w:szCs w:val="30"/>
        </w:rPr>
        <w:t>股份有限公司投资者关系活动记录表</w:t>
      </w:r>
    </w:p>
    <w:p w14:paraId="5AC6CA43" w14:textId="3754A8A2" w:rsidR="00E142EE" w:rsidRPr="00170919" w:rsidRDefault="00E50BF1" w:rsidP="00B50A8F">
      <w:pPr>
        <w:pStyle w:val="Default"/>
        <w:spacing w:line="480" w:lineRule="auto"/>
        <w:ind w:firstLineChars="2550" w:firstLine="6120"/>
      </w:pPr>
      <w:r w:rsidRPr="00170919">
        <w:rPr>
          <w:rFonts w:hint="eastAsia"/>
        </w:rPr>
        <w:t>编号：</w:t>
      </w:r>
      <w:r w:rsidR="00550CF4">
        <w:rPr>
          <w:rFonts w:hint="eastAsia"/>
        </w:rPr>
        <w:t>201</w:t>
      </w:r>
      <w:r w:rsidR="0035588F">
        <w:rPr>
          <w:rFonts w:hint="eastAsia"/>
        </w:rPr>
        <w:t>9</w:t>
      </w:r>
      <w:r w:rsidR="00550CF4">
        <w:rPr>
          <w:rFonts w:hint="eastAsia"/>
        </w:rPr>
        <w:t>-</w:t>
      </w:r>
      <w:r w:rsidR="0035588F">
        <w:rPr>
          <w:rFonts w:hint="eastAsia"/>
        </w:rPr>
        <w:t>00</w:t>
      </w:r>
      <w:r w:rsidR="00FC2339">
        <w:rPr>
          <w:rFonts w:hint="eastAsia"/>
        </w:rPr>
        <w:t>9</w:t>
      </w:r>
    </w:p>
    <w:tbl>
      <w:tblPr>
        <w:tblW w:w="9606" w:type="dxa"/>
        <w:jc w:val="center"/>
        <w:tblInd w:w="-224" w:type="dxa"/>
        <w:tblLook w:val="04A0" w:firstRow="1" w:lastRow="0" w:firstColumn="1" w:lastColumn="0" w:noHBand="0" w:noVBand="1"/>
      </w:tblPr>
      <w:tblGrid>
        <w:gridCol w:w="2437"/>
        <w:gridCol w:w="2038"/>
        <w:gridCol w:w="1196"/>
        <w:gridCol w:w="3935"/>
      </w:tblGrid>
      <w:tr w:rsidR="00E50BF1" w:rsidRPr="00E11823" w14:paraId="2DF27D79" w14:textId="77777777" w:rsidTr="003617F2">
        <w:trPr>
          <w:trHeight w:val="471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4056" w14:textId="77777777" w:rsidR="00E50BF1" w:rsidRPr="00E50BF1" w:rsidRDefault="00E50BF1" w:rsidP="003617F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投资者关系活动类别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2EE79" w14:textId="61F49D0D" w:rsidR="00E50BF1" w:rsidRPr="00E50BF1" w:rsidRDefault="00B87966" w:rsidP="00361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</w:t>
            </w:r>
            <w:r w:rsidR="00E50BF1"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特定对象调研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35986" w14:textId="77777777" w:rsidR="00E50BF1" w:rsidRPr="00E50BF1" w:rsidRDefault="00E50BF1" w:rsidP="00361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1AAF" w14:textId="77777777" w:rsidR="00E50BF1" w:rsidRPr="00E50BF1" w:rsidRDefault="00E50BF1" w:rsidP="00361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□分析</w:t>
            </w:r>
            <w:proofErr w:type="gramStart"/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师会议</w:t>
            </w:r>
            <w:proofErr w:type="gramEnd"/>
          </w:p>
        </w:tc>
      </w:tr>
      <w:tr w:rsidR="00E50BF1" w:rsidRPr="00E11823" w14:paraId="1E8F9C0F" w14:textId="77777777" w:rsidTr="003617F2">
        <w:trPr>
          <w:trHeight w:val="47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52E3" w14:textId="77777777" w:rsidR="00E50BF1" w:rsidRPr="00E50BF1" w:rsidRDefault="00E50BF1" w:rsidP="003617F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CB6B0" w14:textId="77777777" w:rsidR="00E50BF1" w:rsidRPr="00E50BF1" w:rsidRDefault="00E50BF1" w:rsidP="00361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□媒体采访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9712D" w14:textId="77777777" w:rsidR="00E50BF1" w:rsidRPr="00E50BF1" w:rsidRDefault="00E50BF1" w:rsidP="00361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7B31F" w14:textId="77777777" w:rsidR="00E50BF1" w:rsidRPr="00E50BF1" w:rsidRDefault="00E50BF1" w:rsidP="00361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□业绩说明会</w:t>
            </w:r>
          </w:p>
        </w:tc>
      </w:tr>
      <w:tr w:rsidR="00E50BF1" w:rsidRPr="00E11823" w14:paraId="2B6CC6AA" w14:textId="77777777" w:rsidTr="003617F2">
        <w:trPr>
          <w:trHeight w:val="47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9F3A" w14:textId="77777777" w:rsidR="00E50BF1" w:rsidRPr="00E50BF1" w:rsidRDefault="00E50BF1" w:rsidP="003617F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33B41" w14:textId="77777777" w:rsidR="00E50BF1" w:rsidRPr="00E50BF1" w:rsidRDefault="00E50BF1" w:rsidP="00361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□新闻发布会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4F585" w14:textId="77777777" w:rsidR="00E50BF1" w:rsidRPr="00E50BF1" w:rsidRDefault="00E50BF1" w:rsidP="00361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BBF0B" w14:textId="77777777" w:rsidR="00E50BF1" w:rsidRPr="00E50BF1" w:rsidRDefault="00E50BF1" w:rsidP="00361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□路演活动</w:t>
            </w:r>
          </w:p>
        </w:tc>
      </w:tr>
      <w:tr w:rsidR="00E50BF1" w:rsidRPr="00E11823" w14:paraId="3500D84D" w14:textId="77777777" w:rsidTr="003617F2">
        <w:trPr>
          <w:trHeight w:val="47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2E0B" w14:textId="77777777" w:rsidR="00E50BF1" w:rsidRPr="00E50BF1" w:rsidRDefault="00E50BF1" w:rsidP="003617F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91E02" w14:textId="77777777" w:rsidR="00E50BF1" w:rsidRPr="00E50BF1" w:rsidRDefault="00E50BF1" w:rsidP="00361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□现场参观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10D8A" w14:textId="77777777" w:rsidR="00E50BF1" w:rsidRPr="00E50BF1" w:rsidRDefault="00E50BF1" w:rsidP="00361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46AA" w14:textId="77777777" w:rsidR="00E50BF1" w:rsidRPr="00E50BF1" w:rsidRDefault="00E50BF1" w:rsidP="00361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50BF1" w:rsidRPr="00E11823" w14:paraId="1ADE7907" w14:textId="77777777" w:rsidTr="003C22A4">
        <w:trPr>
          <w:trHeight w:val="422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D511" w14:textId="77777777" w:rsidR="00E50BF1" w:rsidRPr="00E50BF1" w:rsidRDefault="00E50BF1" w:rsidP="003617F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8D7DF" w14:textId="77FEEB84" w:rsidR="00E50BF1" w:rsidRPr="00EC328A" w:rsidRDefault="00CB6399" w:rsidP="00CB63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="00E50BF1"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</w:t>
            </w:r>
            <w:r w:rsidR="00EC328A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</w:t>
            </w:r>
            <w:r w:rsidR="00EC328A"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</w:t>
            </w:r>
          </w:p>
        </w:tc>
      </w:tr>
      <w:tr w:rsidR="00E50BF1" w:rsidRPr="0069032C" w14:paraId="171841DD" w14:textId="77777777" w:rsidTr="000351CE">
        <w:trPr>
          <w:trHeight w:val="72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D47D" w14:textId="77777777" w:rsidR="001A18DA" w:rsidRDefault="00E50BF1" w:rsidP="001A18D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参与单位名称及</w:t>
            </w:r>
          </w:p>
          <w:p w14:paraId="1D459C2C" w14:textId="77777777" w:rsidR="00E50BF1" w:rsidRPr="00E50BF1" w:rsidRDefault="00E50BF1" w:rsidP="001A18D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人员姓名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518E2" w14:textId="19986771" w:rsidR="002C7A0B" w:rsidRPr="002C7A0B" w:rsidRDefault="00761434" w:rsidP="00FC2339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61434">
              <w:rPr>
                <w:rFonts w:ascii="宋体" w:hAnsi="宋体" w:cs="宋体" w:hint="eastAsia"/>
                <w:color w:val="000000"/>
                <w:kern w:val="0"/>
                <w:sz w:val="22"/>
              </w:rPr>
              <w:t>招商证券、</w:t>
            </w:r>
            <w:r w:rsidR="00FC2339">
              <w:rPr>
                <w:rFonts w:ascii="宋体" w:hAnsi="宋体" w:cs="宋体" w:hint="eastAsia"/>
                <w:color w:val="000000"/>
                <w:kern w:val="0"/>
                <w:sz w:val="22"/>
              </w:rPr>
              <w:t>西南证券</w:t>
            </w:r>
            <w:r w:rsidR="004E4F5B">
              <w:rPr>
                <w:rFonts w:ascii="宋体" w:hAnsi="宋体" w:cs="宋体" w:hint="eastAsia"/>
                <w:color w:val="000000"/>
                <w:kern w:val="0"/>
                <w:sz w:val="22"/>
              </w:rPr>
              <w:t>等</w:t>
            </w:r>
            <w:r w:rsidR="00FC2339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 w:rsidR="006A6A66">
              <w:rPr>
                <w:rFonts w:ascii="宋体" w:hAnsi="宋体" w:cs="宋体" w:hint="eastAsia"/>
                <w:color w:val="000000"/>
                <w:kern w:val="0"/>
                <w:sz w:val="22"/>
              </w:rPr>
              <w:t>名</w:t>
            </w:r>
            <w:r w:rsidR="004E4F5B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投资者</w:t>
            </w:r>
            <w:r w:rsidR="006A6A66"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  <w:r w:rsidR="006A6A66" w:rsidRPr="00795960">
              <w:rPr>
                <w:rFonts w:ascii="宋体" w:hAnsi="宋体" w:cs="宋体" w:hint="eastAsia"/>
                <w:color w:val="000000"/>
                <w:kern w:val="0"/>
                <w:sz w:val="22"/>
              </w:rPr>
              <w:t>（排名不分先后）</w:t>
            </w:r>
          </w:p>
        </w:tc>
      </w:tr>
      <w:tr w:rsidR="006A6A66" w:rsidRPr="00E11823" w14:paraId="046A069C" w14:textId="77777777" w:rsidTr="006A6A66">
        <w:trPr>
          <w:trHeight w:val="450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71C3" w14:textId="77777777" w:rsidR="006A6A66" w:rsidRPr="00E50BF1" w:rsidRDefault="006A6A66" w:rsidP="001A18DA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时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 </w:t>
            </w: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间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FFB57" w14:textId="026D712F" w:rsidR="006A6A66" w:rsidRPr="00E50BF1" w:rsidRDefault="006A6A66" w:rsidP="00FC2339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2019年</w:t>
            </w:r>
            <w:r w:rsidR="00761434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="00FC2339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="00761434">
              <w:rPr>
                <w:rFonts w:ascii="宋体" w:hAnsi="宋体" w:cs="宋体" w:hint="eastAsia"/>
                <w:color w:val="000000"/>
                <w:kern w:val="0"/>
                <w:sz w:val="22"/>
              </w:rPr>
              <w:t>2日</w:t>
            </w:r>
          </w:p>
        </w:tc>
      </w:tr>
      <w:tr w:rsidR="006A6A66" w:rsidRPr="00E11823" w14:paraId="4D8527DD" w14:textId="77777777" w:rsidTr="006A6A66">
        <w:trPr>
          <w:trHeight w:val="491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4584" w14:textId="77777777" w:rsidR="006A6A66" w:rsidRPr="00E50BF1" w:rsidRDefault="006A6A66" w:rsidP="001A18DA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地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 </w:t>
            </w: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点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3D7A9" w14:textId="50B9D706" w:rsidR="006A6A66" w:rsidRPr="00E50BF1" w:rsidRDefault="006A6A66" w:rsidP="00761434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公司会议室</w:t>
            </w:r>
          </w:p>
        </w:tc>
      </w:tr>
      <w:tr w:rsidR="00E50BF1" w:rsidRPr="00E11823" w14:paraId="2048FC47" w14:textId="77777777" w:rsidTr="006A6A66">
        <w:trPr>
          <w:trHeight w:val="63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2F57" w14:textId="77777777" w:rsidR="00E50BF1" w:rsidRPr="00E50BF1" w:rsidRDefault="00E50BF1" w:rsidP="00083761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上市公司接待人员姓名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53045" w14:textId="77777777" w:rsidR="006A6A66" w:rsidRPr="006A6A66" w:rsidRDefault="006A6A66" w:rsidP="006A6A6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A6A66">
              <w:rPr>
                <w:rFonts w:ascii="宋体" w:hAnsi="宋体" w:cs="宋体" w:hint="eastAsia"/>
                <w:color w:val="000000"/>
                <w:kern w:val="0"/>
                <w:sz w:val="22"/>
              </w:rPr>
              <w:t>副总经理、董事会秘书：</w:t>
            </w:r>
            <w:proofErr w:type="gramStart"/>
            <w:r w:rsidRPr="006A6A66">
              <w:rPr>
                <w:rFonts w:ascii="宋体" w:hAnsi="宋体" w:cs="宋体" w:hint="eastAsia"/>
                <w:color w:val="000000"/>
                <w:kern w:val="0"/>
                <w:sz w:val="22"/>
              </w:rPr>
              <w:t>欧贤华</w:t>
            </w:r>
            <w:proofErr w:type="gramEnd"/>
          </w:p>
          <w:p w14:paraId="42E32D2D" w14:textId="633B8DA1" w:rsidR="006A6A66" w:rsidRPr="006A6A66" w:rsidRDefault="006A6A66" w:rsidP="00FC2339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A6A66">
              <w:rPr>
                <w:rFonts w:ascii="宋体" w:hAnsi="宋体" w:cs="宋体" w:hint="eastAsia"/>
                <w:color w:val="000000"/>
                <w:kern w:val="0"/>
                <w:sz w:val="22"/>
              </w:rPr>
              <w:t>证券办：</w:t>
            </w:r>
            <w:r w:rsidR="00FC2339">
              <w:rPr>
                <w:rFonts w:ascii="宋体" w:hAnsi="宋体" w:cs="宋体" w:hint="eastAsia"/>
                <w:color w:val="000000"/>
                <w:kern w:val="0"/>
                <w:sz w:val="22"/>
              </w:rPr>
              <w:t>刘</w:t>
            </w:r>
            <w:proofErr w:type="gramStart"/>
            <w:r w:rsidR="00FC2339">
              <w:rPr>
                <w:rFonts w:ascii="宋体" w:hAnsi="宋体" w:cs="宋体" w:hint="eastAsia"/>
                <w:color w:val="000000"/>
                <w:kern w:val="0"/>
                <w:sz w:val="22"/>
              </w:rPr>
              <w:t>羚</w:t>
            </w:r>
            <w:bookmarkStart w:id="0" w:name="_GoBack"/>
            <w:bookmarkEnd w:id="0"/>
            <w:proofErr w:type="gramEnd"/>
          </w:p>
        </w:tc>
      </w:tr>
      <w:tr w:rsidR="00E50BF1" w:rsidRPr="00E11823" w14:paraId="7BE7882B" w14:textId="77777777" w:rsidTr="00B50A8F">
        <w:trPr>
          <w:trHeight w:val="1692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FCF9" w14:textId="77777777" w:rsidR="001A18DA" w:rsidRDefault="00E50BF1" w:rsidP="00550CF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投资者关系活动</w:t>
            </w:r>
          </w:p>
          <w:p w14:paraId="2CAF9362" w14:textId="77777777" w:rsidR="00E50BF1" w:rsidRPr="00E50BF1" w:rsidRDefault="00E50BF1" w:rsidP="00550CF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主要内容介绍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0C37E" w14:textId="77777777" w:rsidR="00F16FF6" w:rsidRDefault="00F16FF6" w:rsidP="00F16FF6">
            <w:pPr>
              <w:widowControl/>
              <w:spacing w:before="240" w:line="360" w:lineRule="auto"/>
              <w:ind w:firstLineChars="200" w:firstLine="442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参观公司展厅</w:t>
            </w:r>
          </w:p>
          <w:p w14:paraId="04C8A93F" w14:textId="77777777" w:rsidR="00F16FF6" w:rsidRDefault="00F16FF6" w:rsidP="00F16FF6">
            <w:pPr>
              <w:widowControl/>
              <w:spacing w:line="360" w:lineRule="auto"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现场主要介绍了微模块、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XRack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、间接蒸发冷却产品、通信户外柜温控产品及应用、工业机柜空调产品、新能源客车空调、新能源冷藏车冷机等产品。</w:t>
            </w:r>
          </w:p>
          <w:p w14:paraId="4846780E" w14:textId="649077B0" w:rsidR="00AA1FAF" w:rsidRPr="00AA1FAF" w:rsidRDefault="00675434" w:rsidP="00AA1FAF">
            <w:pPr>
              <w:widowControl/>
              <w:spacing w:before="240" w:line="360" w:lineRule="auto"/>
              <w:ind w:firstLineChars="169" w:firstLine="373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1、</w:t>
            </w:r>
            <w:r w:rsidR="00AA1FAF" w:rsidRPr="00AA1FA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为什么英维克在大型数据中心的竞争优势明显？</w:t>
            </w:r>
            <w:r w:rsidR="00AA1FA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目前订单执行情况如何？</w:t>
            </w:r>
          </w:p>
          <w:p w14:paraId="6F9FEFBF" w14:textId="73A3A7FB" w:rsidR="006B7F19" w:rsidRPr="00675434" w:rsidRDefault="00AA1FAF" w:rsidP="00D41FE2">
            <w:pPr>
              <w:widowControl/>
              <w:spacing w:line="360" w:lineRule="auto"/>
              <w:ind w:firstLineChars="169" w:firstLine="372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1FAF">
              <w:rPr>
                <w:rFonts w:ascii="宋体" w:hAnsi="宋体" w:cs="宋体" w:hint="eastAsia"/>
                <w:color w:val="000000"/>
                <w:kern w:val="0"/>
                <w:sz w:val="22"/>
              </w:rPr>
              <w:t>大型和超大型数据中心对能效要求更高、对建设速度要求越来越快，这些</w:t>
            </w:r>
            <w:r w:rsidR="005A6D74">
              <w:rPr>
                <w:rFonts w:ascii="宋体" w:hAnsi="宋体" w:cs="宋体" w:hint="eastAsia"/>
                <w:color w:val="000000"/>
                <w:kern w:val="0"/>
                <w:sz w:val="22"/>
              </w:rPr>
              <w:t>需求</w:t>
            </w:r>
            <w:r w:rsidRPr="00AA1FAF">
              <w:rPr>
                <w:rFonts w:ascii="宋体" w:hAnsi="宋体" w:cs="宋体" w:hint="eastAsia"/>
                <w:color w:val="000000"/>
                <w:kern w:val="0"/>
                <w:sz w:val="22"/>
              </w:rPr>
              <w:t>特点要</w:t>
            </w:r>
            <w:r w:rsidRPr="004D3516">
              <w:rPr>
                <w:rFonts w:ascii="宋体" w:hAnsi="宋体" w:cs="宋体" w:hint="eastAsia"/>
                <w:color w:val="000000"/>
                <w:kern w:val="0"/>
                <w:sz w:val="22"/>
              </w:rPr>
              <w:t>求温控</w:t>
            </w:r>
            <w:r w:rsidR="005A6D74">
              <w:rPr>
                <w:rFonts w:ascii="宋体" w:hAnsi="宋体" w:cs="宋体" w:hint="eastAsia"/>
                <w:color w:val="000000"/>
                <w:kern w:val="0"/>
                <w:sz w:val="22"/>
              </w:rPr>
              <w:t>系统</w:t>
            </w:r>
            <w:r w:rsidRPr="004D3516">
              <w:rPr>
                <w:rFonts w:ascii="宋体" w:hAnsi="宋体" w:cs="宋体" w:hint="eastAsia"/>
                <w:color w:val="000000"/>
                <w:kern w:val="0"/>
                <w:sz w:val="22"/>
              </w:rPr>
              <w:t>供应商</w:t>
            </w:r>
            <w:r w:rsidR="005A6D74">
              <w:rPr>
                <w:rFonts w:ascii="宋体" w:hAnsi="宋体" w:cs="宋体" w:hint="eastAsia"/>
                <w:color w:val="000000"/>
                <w:kern w:val="0"/>
                <w:sz w:val="22"/>
              </w:rPr>
              <w:t>同时</w:t>
            </w:r>
            <w:r w:rsidRPr="00AA1FAF">
              <w:rPr>
                <w:rFonts w:ascii="宋体" w:hAnsi="宋体" w:cs="宋体" w:hint="eastAsia"/>
                <w:color w:val="000000"/>
                <w:kern w:val="0"/>
                <w:sz w:val="22"/>
              </w:rPr>
              <w:t>具备技术创新能力和快速响应</w:t>
            </w:r>
            <w:r w:rsidR="004D3516">
              <w:rPr>
                <w:rFonts w:ascii="宋体" w:hAnsi="宋体" w:cs="宋体" w:hint="eastAsia"/>
                <w:color w:val="000000"/>
                <w:kern w:val="0"/>
                <w:sz w:val="22"/>
              </w:rPr>
              <w:t>能力</w:t>
            </w:r>
            <w:r w:rsidRPr="00AA1FAF">
              <w:rPr>
                <w:rFonts w:ascii="宋体" w:hAnsi="宋体" w:cs="宋体" w:hint="eastAsia"/>
                <w:color w:val="000000"/>
                <w:kern w:val="0"/>
                <w:sz w:val="22"/>
              </w:rPr>
              <w:t>、高性价比，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公司</w:t>
            </w:r>
            <w:r w:rsidR="005A6D74">
              <w:rPr>
                <w:rFonts w:ascii="宋体" w:hAnsi="宋体" w:cs="宋体" w:hint="eastAsia"/>
                <w:color w:val="000000"/>
                <w:kern w:val="0"/>
                <w:sz w:val="22"/>
              </w:rPr>
              <w:t>的能力优势</w:t>
            </w:r>
            <w:r w:rsidR="004D3516">
              <w:rPr>
                <w:rFonts w:ascii="宋体" w:hAnsi="宋体" w:cs="宋体" w:hint="eastAsia"/>
                <w:color w:val="000000"/>
                <w:kern w:val="0"/>
                <w:sz w:val="22"/>
              </w:rPr>
              <w:t>在这些方面</w:t>
            </w:r>
            <w:r w:rsidR="005A6D74">
              <w:rPr>
                <w:rFonts w:ascii="宋体" w:hAnsi="宋体" w:cs="宋体" w:hint="eastAsia"/>
                <w:color w:val="000000"/>
                <w:kern w:val="0"/>
                <w:sz w:val="22"/>
              </w:rPr>
              <w:t>与客户需求高度吻合</w:t>
            </w:r>
            <w:r w:rsidRPr="00AA1FAF"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  <w:r w:rsidR="005A6D74">
              <w:rPr>
                <w:rFonts w:ascii="宋体" w:hAnsi="宋体" w:cs="宋体" w:hint="eastAsia"/>
                <w:color w:val="000000"/>
                <w:kern w:val="0"/>
                <w:sz w:val="22"/>
              </w:rPr>
              <w:t>2019年来自大型数据中心项目的订单继续增加，除已完成的项目外，</w:t>
            </w:r>
            <w:r w:rsidRPr="00AA1FAF">
              <w:rPr>
                <w:rFonts w:ascii="宋体" w:hAnsi="宋体" w:cs="宋体" w:hint="eastAsia"/>
                <w:color w:val="000000"/>
                <w:kern w:val="0"/>
                <w:sz w:val="22"/>
              </w:rPr>
              <w:t>部分大型数据中心项目在第三、四季度发货、安装，并将陆续在</w:t>
            </w:r>
            <w:proofErr w:type="gramStart"/>
            <w:r w:rsidRPr="00AA1FAF">
              <w:rPr>
                <w:rFonts w:ascii="宋体" w:hAnsi="宋体" w:cs="宋体" w:hint="eastAsia"/>
                <w:color w:val="000000"/>
                <w:kern w:val="0"/>
                <w:sz w:val="22"/>
              </w:rPr>
              <w:t>后期实现</w:t>
            </w:r>
            <w:proofErr w:type="gramEnd"/>
            <w:r w:rsidRPr="00AA1FAF">
              <w:rPr>
                <w:rFonts w:ascii="宋体" w:hAnsi="宋体" w:cs="宋体" w:hint="eastAsia"/>
                <w:color w:val="000000"/>
                <w:kern w:val="0"/>
                <w:sz w:val="22"/>
              </w:rPr>
              <w:t>验收。</w:t>
            </w:r>
          </w:p>
          <w:p w14:paraId="2B0DF29A" w14:textId="68F9CD40" w:rsidR="00AA1FAF" w:rsidRDefault="00D41FE2" w:rsidP="00454A0C">
            <w:pPr>
              <w:widowControl/>
              <w:spacing w:before="240" w:line="360" w:lineRule="auto"/>
              <w:ind w:firstLineChars="169" w:firstLine="373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2</w:t>
            </w:r>
            <w:r w:rsidR="00AA1FA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、上海科泰</w:t>
            </w:r>
            <w:r w:rsidR="00FD5862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被</w:t>
            </w:r>
            <w:r w:rsidR="00AA1FAF" w:rsidRPr="00AA1FA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收购后，运营情况如何？收购</w:t>
            </w:r>
            <w:r w:rsidR="00FE2DD4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上海科泰是否符合公司的发展</w:t>
            </w:r>
            <w:r w:rsidR="00AA1FAF" w:rsidRPr="00AA1FA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？</w:t>
            </w:r>
          </w:p>
          <w:p w14:paraId="3115D070" w14:textId="685AB5CD" w:rsidR="00FE2DD4" w:rsidRDefault="00FD5862" w:rsidP="005E3CDF">
            <w:pPr>
              <w:widowControl/>
              <w:spacing w:line="360" w:lineRule="auto"/>
              <w:ind w:firstLineChars="169" w:firstLine="372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收购</w:t>
            </w:r>
            <w:r w:rsidR="005E3CDF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上海科泰后，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公司新增地铁空调业务，并表以来</w:t>
            </w:r>
            <w:r w:rsidR="005E3CDF">
              <w:rPr>
                <w:rFonts w:ascii="宋体" w:hAnsi="宋体" w:cs="宋体" w:hint="eastAsia"/>
                <w:color w:val="000000"/>
                <w:kern w:val="0"/>
                <w:sz w:val="22"/>
              </w:rPr>
              <w:t>经营情况</w:t>
            </w:r>
            <w:r w:rsidR="005E3CDF" w:rsidRPr="005E3CDF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良好，</w:t>
            </w:r>
            <w:r w:rsidR="00AD268B">
              <w:rPr>
                <w:rFonts w:ascii="宋体" w:hAnsi="宋体" w:cs="宋体" w:hint="eastAsia"/>
                <w:color w:val="000000"/>
                <w:kern w:val="0"/>
                <w:sz w:val="22"/>
              </w:rPr>
              <w:t>已兑现</w:t>
            </w:r>
            <w:r w:rsidR="005E3CDF" w:rsidRPr="005E3CDF">
              <w:rPr>
                <w:rFonts w:ascii="宋体" w:hAnsi="宋体" w:cs="宋体" w:hint="eastAsia"/>
                <w:color w:val="000000"/>
                <w:kern w:val="0"/>
                <w:sz w:val="22"/>
              </w:rPr>
              <w:t>201</w:t>
            </w:r>
            <w:r w:rsidR="005E3CDF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  <w:r w:rsidR="005E3CDF" w:rsidRPr="005E3CDF">
              <w:rPr>
                <w:rFonts w:ascii="宋体" w:hAnsi="宋体" w:cs="宋体" w:hint="eastAsia"/>
                <w:color w:val="000000"/>
                <w:kern w:val="0"/>
                <w:sz w:val="22"/>
              </w:rPr>
              <w:t>年业绩承诺。</w:t>
            </w:r>
            <w:r w:rsidR="00FE2DD4" w:rsidRPr="00FE2DD4">
              <w:rPr>
                <w:rFonts w:ascii="宋体" w:hAnsi="宋体" w:cs="宋体" w:hint="eastAsia"/>
                <w:color w:val="000000"/>
                <w:kern w:val="0"/>
                <w:sz w:val="22"/>
              </w:rPr>
              <w:t>公司在技术研发、供应链、市场及服务等方面的协同效应与规模效应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也</w:t>
            </w:r>
            <w:r w:rsidR="00FE2DD4" w:rsidRPr="00FE2DD4">
              <w:rPr>
                <w:rFonts w:ascii="宋体" w:hAnsi="宋体" w:cs="宋体" w:hint="eastAsia"/>
                <w:color w:val="000000"/>
                <w:kern w:val="0"/>
                <w:sz w:val="22"/>
              </w:rPr>
              <w:t>得到进一步提升。对公司的营业收入、利润等财务指标也有望得到提升，有利于实现股东长远价值。</w:t>
            </w:r>
          </w:p>
          <w:p w14:paraId="430E4D01" w14:textId="2C79E1D6" w:rsidR="008D0608" w:rsidRPr="008D0608" w:rsidRDefault="00D41FE2" w:rsidP="008D0608">
            <w:pPr>
              <w:spacing w:before="240" w:line="360" w:lineRule="auto"/>
              <w:ind w:firstLineChars="177" w:firstLine="391"/>
              <w:rPr>
                <w:b/>
              </w:rPr>
            </w:pPr>
            <w:r w:rsidRPr="008D0608">
              <w:rPr>
                <w:rFonts w:ascii="宋体" w:hAnsi="宋体" w:hint="eastAsia"/>
                <w:b/>
                <w:sz w:val="22"/>
              </w:rPr>
              <w:t>3、</w:t>
            </w:r>
            <w:r w:rsidR="008D0608" w:rsidRPr="008D0608">
              <w:rPr>
                <w:rFonts w:hint="eastAsia"/>
                <w:b/>
              </w:rPr>
              <w:t>公司研发团队人数多少？</w:t>
            </w:r>
            <w:r w:rsidR="008D0608" w:rsidRPr="008D0608">
              <w:rPr>
                <w:rFonts w:hint="eastAsia"/>
                <w:b/>
              </w:rPr>
              <w:t xml:space="preserve"> </w:t>
            </w:r>
          </w:p>
          <w:p w14:paraId="5AEAE4B4" w14:textId="652DB7B2" w:rsidR="008D0608" w:rsidRPr="00D41FE2" w:rsidRDefault="008D0608" w:rsidP="008D0608">
            <w:pPr>
              <w:spacing w:line="360" w:lineRule="auto"/>
              <w:ind w:firstLineChars="177" w:firstLine="372"/>
            </w:pPr>
            <w:r>
              <w:rPr>
                <w:rFonts w:hint="eastAsia"/>
              </w:rPr>
              <w:t>截至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年年末，公司研发人员</w:t>
            </w:r>
            <w:r>
              <w:rPr>
                <w:rFonts w:hint="eastAsia"/>
              </w:rPr>
              <w:t>517</w:t>
            </w:r>
            <w:r>
              <w:rPr>
                <w:rFonts w:hint="eastAsia"/>
              </w:rPr>
              <w:t>人，占公司总人数</w:t>
            </w:r>
            <w:r>
              <w:rPr>
                <w:rFonts w:hint="eastAsia"/>
              </w:rPr>
              <w:t>33.06%</w:t>
            </w:r>
            <w:r>
              <w:rPr>
                <w:rFonts w:hint="eastAsia"/>
              </w:rPr>
              <w:t>。</w:t>
            </w:r>
          </w:p>
          <w:p w14:paraId="0BFAA267" w14:textId="5120D529" w:rsidR="00454A0C" w:rsidRPr="00454A0C" w:rsidRDefault="00454A0C" w:rsidP="008D0608">
            <w:pPr>
              <w:widowControl/>
              <w:spacing w:before="240" w:line="360" w:lineRule="auto"/>
              <w:ind w:firstLineChars="169" w:firstLine="373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454A0C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4、公司核心竞争力及业务的亮点？</w:t>
            </w:r>
          </w:p>
          <w:p w14:paraId="1D2390E8" w14:textId="2934F9F9" w:rsidR="00FC2339" w:rsidRDefault="00454A0C" w:rsidP="00454A0C">
            <w:pPr>
              <w:widowControl/>
              <w:spacing w:line="360" w:lineRule="auto"/>
              <w:ind w:firstLineChars="169" w:firstLine="372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4A0C">
              <w:rPr>
                <w:rFonts w:ascii="宋体" w:hAnsi="宋体" w:cs="宋体" w:hint="eastAsia"/>
                <w:color w:val="000000"/>
                <w:kern w:val="0"/>
                <w:sz w:val="22"/>
              </w:rPr>
              <w:t>公司技术创新能力强，擅于抓住客户需求及技术迭代机会；核心团队持股、核心骨干已实施股权激励计划。公司目前已初步构建多领域业务布局，为公司近年的规模成长提供了空间、优质的客户群体。</w:t>
            </w:r>
          </w:p>
          <w:p w14:paraId="10E47F54" w14:textId="51795531" w:rsidR="00FE2DD4" w:rsidRPr="00FE2DD4" w:rsidRDefault="00AA1FAF" w:rsidP="00AD268B">
            <w:pPr>
              <w:widowControl/>
              <w:spacing w:before="240" w:line="360" w:lineRule="auto"/>
              <w:ind w:firstLineChars="169" w:firstLine="373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AA1FA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5、</w:t>
            </w:r>
            <w:r w:rsidR="00FE2DD4" w:rsidRPr="00FE2DD4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公司后续拓展</w:t>
            </w:r>
            <w:r w:rsidR="00FE2DD4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会考虑并购吗</w:t>
            </w:r>
            <w:r w:rsidR="00FE2DD4" w:rsidRPr="00FE2DD4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？</w:t>
            </w:r>
          </w:p>
          <w:p w14:paraId="4EDB16DD" w14:textId="36C98D62" w:rsidR="00AA1FAF" w:rsidRPr="00FE2DD4" w:rsidRDefault="00FE2DD4" w:rsidP="00FE2DD4">
            <w:pPr>
              <w:widowControl/>
              <w:spacing w:line="360" w:lineRule="auto"/>
              <w:ind w:firstLineChars="169" w:firstLine="372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E2DD4">
              <w:rPr>
                <w:rFonts w:ascii="宋体" w:hAnsi="宋体" w:cs="宋体" w:hint="eastAsia"/>
                <w:color w:val="000000"/>
                <w:kern w:val="0"/>
                <w:sz w:val="22"/>
              </w:rPr>
              <w:t>公司会继续专注在温控、散热领域，后续将通过内部培育、引进团队、投资等</w:t>
            </w:r>
            <w:r w:rsidR="005A6D74">
              <w:rPr>
                <w:rFonts w:ascii="宋体" w:hAnsi="宋体" w:cs="宋体" w:hint="eastAsia"/>
                <w:color w:val="000000"/>
                <w:kern w:val="0"/>
                <w:sz w:val="22"/>
              </w:rPr>
              <w:t>多</w:t>
            </w:r>
            <w:r w:rsidRPr="00FE2DD4">
              <w:rPr>
                <w:rFonts w:ascii="宋体" w:hAnsi="宋体" w:cs="宋体" w:hint="eastAsia"/>
                <w:color w:val="000000"/>
                <w:kern w:val="0"/>
                <w:sz w:val="22"/>
              </w:rPr>
              <w:t>种方式展开产业布局，通过构建平台型的管理模式实现协同效应和规模效应，力争在每个进入的细分应用行业位于前列。</w:t>
            </w:r>
          </w:p>
          <w:p w14:paraId="68FE3942" w14:textId="038EFD7B" w:rsidR="00101DE3" w:rsidRPr="00C27CD7" w:rsidRDefault="006A6A66" w:rsidP="00B0194C">
            <w:pPr>
              <w:widowControl/>
              <w:spacing w:before="240" w:line="360" w:lineRule="auto"/>
              <w:ind w:firstLineChars="169" w:firstLine="372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C328A">
              <w:rPr>
                <w:rFonts w:ascii="宋体" w:hAnsi="宋体" w:cs="宋体" w:hint="eastAsia"/>
                <w:color w:val="000000"/>
                <w:kern w:val="0"/>
                <w:sz w:val="22"/>
              </w:rPr>
              <w:t>接待过程中，严格按照相关规定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与投资者进行了充分的交流与沟通</w:t>
            </w:r>
            <w:r w:rsidRPr="00EC328A">
              <w:rPr>
                <w:rFonts w:ascii="宋体" w:hAnsi="宋体" w:cs="宋体" w:hint="eastAsia"/>
                <w:color w:val="000000"/>
                <w:kern w:val="0"/>
                <w:sz w:val="22"/>
              </w:rPr>
              <w:t>，保证信息披露的真实、准确、完整、及时、公平。没有出现未公开重大信息泄露等情况。</w:t>
            </w:r>
          </w:p>
        </w:tc>
      </w:tr>
      <w:tr w:rsidR="00E50BF1" w:rsidRPr="00E11823" w14:paraId="2DA0EB6B" w14:textId="77777777" w:rsidTr="00A30D43">
        <w:trPr>
          <w:trHeight w:val="665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C8BD" w14:textId="77777777" w:rsidR="00E50BF1" w:rsidRPr="00E50BF1" w:rsidRDefault="00E50BF1" w:rsidP="001A18D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附件清单（如有）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4E2E4" w14:textId="77777777" w:rsidR="00E50BF1" w:rsidRPr="00E50BF1" w:rsidRDefault="00550CF4" w:rsidP="00550C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E50BF1" w:rsidRPr="00E11823" w14:paraId="170C5E66" w14:textId="77777777" w:rsidTr="00A30D43">
        <w:trPr>
          <w:trHeight w:val="600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3042" w14:textId="77777777" w:rsidR="00E50BF1" w:rsidRPr="00E50BF1" w:rsidRDefault="00E50BF1" w:rsidP="001A18D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BFE6D" w14:textId="080C825E" w:rsidR="00E50BF1" w:rsidRPr="00E50BF1" w:rsidRDefault="00550CF4" w:rsidP="00A9633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</w:t>
            </w:r>
            <w:r w:rsidR="00BE1C13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="009961B9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="008D0608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 w:rsidR="006A6A66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="00A9633A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  <w:r w:rsidR="008D0608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  <w:r w:rsidR="00201273">
              <w:rPr>
                <w:rFonts w:ascii="宋体" w:hAnsi="宋体" w:cs="宋体" w:hint="eastAsia"/>
                <w:color w:val="000000"/>
                <w:kern w:val="0"/>
                <w:sz w:val="22"/>
              </w:rPr>
              <w:t>整理</w:t>
            </w:r>
          </w:p>
        </w:tc>
      </w:tr>
    </w:tbl>
    <w:p w14:paraId="508E3320" w14:textId="77777777" w:rsidR="00E50BF1" w:rsidRPr="001A18DA" w:rsidRDefault="00E50BF1" w:rsidP="00C53F59">
      <w:pPr>
        <w:pStyle w:val="Default"/>
        <w:adjustRightInd/>
        <w:spacing w:line="360" w:lineRule="auto"/>
        <w:rPr>
          <w:rFonts w:hAnsi="Times New Roman"/>
        </w:rPr>
      </w:pPr>
    </w:p>
    <w:sectPr w:rsidR="00E50BF1" w:rsidRPr="001A18DA" w:rsidSect="001F1946">
      <w:pgSz w:w="11906" w:h="16838"/>
      <w:pgMar w:top="156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726AD" w14:textId="77777777" w:rsidR="00C234D1" w:rsidRDefault="00C234D1" w:rsidP="004E72A9">
      <w:r>
        <w:separator/>
      </w:r>
    </w:p>
  </w:endnote>
  <w:endnote w:type="continuationSeparator" w:id="0">
    <w:p w14:paraId="05CC31AD" w14:textId="77777777" w:rsidR="00C234D1" w:rsidRDefault="00C234D1" w:rsidP="004E72A9">
      <w:r>
        <w:continuationSeparator/>
      </w:r>
    </w:p>
  </w:endnote>
  <w:endnote w:type="continuationNotice" w:id="1">
    <w:p w14:paraId="1218A70A" w14:textId="77777777" w:rsidR="00C234D1" w:rsidRDefault="00C234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5BA6" w14:textId="77777777" w:rsidR="00C234D1" w:rsidRDefault="00C234D1" w:rsidP="004E72A9">
      <w:r>
        <w:separator/>
      </w:r>
    </w:p>
  </w:footnote>
  <w:footnote w:type="continuationSeparator" w:id="0">
    <w:p w14:paraId="7EDF3BC6" w14:textId="77777777" w:rsidR="00C234D1" w:rsidRDefault="00C234D1" w:rsidP="004E72A9">
      <w:r>
        <w:continuationSeparator/>
      </w:r>
    </w:p>
  </w:footnote>
  <w:footnote w:type="continuationNotice" w:id="1">
    <w:p w14:paraId="3E596B42" w14:textId="77777777" w:rsidR="00C234D1" w:rsidRDefault="00C234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0041"/>
    <w:multiLevelType w:val="hybridMultilevel"/>
    <w:tmpl w:val="CA22229C"/>
    <w:lvl w:ilvl="0" w:tplc="C0DEB2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F92C75"/>
    <w:multiLevelType w:val="hybridMultilevel"/>
    <w:tmpl w:val="AB76754C"/>
    <w:lvl w:ilvl="0" w:tplc="A99A218E">
      <w:start w:val="1"/>
      <w:numFmt w:val="japaneseCounting"/>
      <w:lvlText w:val="第%1章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9A5E6A"/>
    <w:multiLevelType w:val="hybridMultilevel"/>
    <w:tmpl w:val="CA22229C"/>
    <w:lvl w:ilvl="0" w:tplc="C0DEB2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1B9F"/>
    <w:rsid w:val="000060CF"/>
    <w:rsid w:val="00012CCA"/>
    <w:rsid w:val="00013D12"/>
    <w:rsid w:val="000202D4"/>
    <w:rsid w:val="00020ED1"/>
    <w:rsid w:val="000227EA"/>
    <w:rsid w:val="00023969"/>
    <w:rsid w:val="000259C8"/>
    <w:rsid w:val="000267CC"/>
    <w:rsid w:val="0003014E"/>
    <w:rsid w:val="00030BC1"/>
    <w:rsid w:val="00030FED"/>
    <w:rsid w:val="00032932"/>
    <w:rsid w:val="000351CE"/>
    <w:rsid w:val="00036515"/>
    <w:rsid w:val="00040849"/>
    <w:rsid w:val="00056D10"/>
    <w:rsid w:val="000573F4"/>
    <w:rsid w:val="000602F0"/>
    <w:rsid w:val="00066418"/>
    <w:rsid w:val="00070B9D"/>
    <w:rsid w:val="00071911"/>
    <w:rsid w:val="00072E98"/>
    <w:rsid w:val="0007725C"/>
    <w:rsid w:val="00083761"/>
    <w:rsid w:val="00083BEF"/>
    <w:rsid w:val="0009105E"/>
    <w:rsid w:val="000A0939"/>
    <w:rsid w:val="000A2ED9"/>
    <w:rsid w:val="000B321F"/>
    <w:rsid w:val="000D178F"/>
    <w:rsid w:val="000D4F1A"/>
    <w:rsid w:val="000E0557"/>
    <w:rsid w:val="000E5E64"/>
    <w:rsid w:val="000E7C68"/>
    <w:rsid w:val="000F176A"/>
    <w:rsid w:val="00101DE3"/>
    <w:rsid w:val="00110F68"/>
    <w:rsid w:val="00111F48"/>
    <w:rsid w:val="00116298"/>
    <w:rsid w:val="001172B7"/>
    <w:rsid w:val="00125D63"/>
    <w:rsid w:val="00126B01"/>
    <w:rsid w:val="00126EFB"/>
    <w:rsid w:val="00131ED2"/>
    <w:rsid w:val="0013280D"/>
    <w:rsid w:val="001360F9"/>
    <w:rsid w:val="001378F4"/>
    <w:rsid w:val="00141744"/>
    <w:rsid w:val="00145224"/>
    <w:rsid w:val="00145336"/>
    <w:rsid w:val="00146308"/>
    <w:rsid w:val="001555F9"/>
    <w:rsid w:val="0015762A"/>
    <w:rsid w:val="00161DFF"/>
    <w:rsid w:val="00167B09"/>
    <w:rsid w:val="00170919"/>
    <w:rsid w:val="00170D25"/>
    <w:rsid w:val="001877C9"/>
    <w:rsid w:val="001907AC"/>
    <w:rsid w:val="001A18DA"/>
    <w:rsid w:val="001A62DF"/>
    <w:rsid w:val="001B2830"/>
    <w:rsid w:val="001B562C"/>
    <w:rsid w:val="001C11D5"/>
    <w:rsid w:val="001C16F3"/>
    <w:rsid w:val="001C2B71"/>
    <w:rsid w:val="001C3EA1"/>
    <w:rsid w:val="001C7131"/>
    <w:rsid w:val="001D18D2"/>
    <w:rsid w:val="001D40B1"/>
    <w:rsid w:val="001D48C5"/>
    <w:rsid w:val="001D636D"/>
    <w:rsid w:val="001E7FA1"/>
    <w:rsid w:val="001F1946"/>
    <w:rsid w:val="001F248F"/>
    <w:rsid w:val="00200853"/>
    <w:rsid w:val="00201273"/>
    <w:rsid w:val="00202F67"/>
    <w:rsid w:val="00206224"/>
    <w:rsid w:val="00210E75"/>
    <w:rsid w:val="00214F94"/>
    <w:rsid w:val="0022686B"/>
    <w:rsid w:val="00231D8A"/>
    <w:rsid w:val="00233125"/>
    <w:rsid w:val="00241B9F"/>
    <w:rsid w:val="00245922"/>
    <w:rsid w:val="00245B7B"/>
    <w:rsid w:val="0024696C"/>
    <w:rsid w:val="00256B6C"/>
    <w:rsid w:val="0026503C"/>
    <w:rsid w:val="00270BB3"/>
    <w:rsid w:val="00274979"/>
    <w:rsid w:val="00276CF2"/>
    <w:rsid w:val="002822A1"/>
    <w:rsid w:val="00282C08"/>
    <w:rsid w:val="002840C8"/>
    <w:rsid w:val="00284AF2"/>
    <w:rsid w:val="002854D9"/>
    <w:rsid w:val="00285696"/>
    <w:rsid w:val="0029132E"/>
    <w:rsid w:val="002A01C0"/>
    <w:rsid w:val="002A6377"/>
    <w:rsid w:val="002A78D8"/>
    <w:rsid w:val="002B0577"/>
    <w:rsid w:val="002B18E7"/>
    <w:rsid w:val="002B1F31"/>
    <w:rsid w:val="002B3444"/>
    <w:rsid w:val="002B6463"/>
    <w:rsid w:val="002B64E4"/>
    <w:rsid w:val="002C004F"/>
    <w:rsid w:val="002C5508"/>
    <w:rsid w:val="002C7A0B"/>
    <w:rsid w:val="002D2781"/>
    <w:rsid w:val="002D49E4"/>
    <w:rsid w:val="002D4BD6"/>
    <w:rsid w:val="002D6222"/>
    <w:rsid w:val="002E3E67"/>
    <w:rsid w:val="002E6993"/>
    <w:rsid w:val="002E701C"/>
    <w:rsid w:val="002F2B51"/>
    <w:rsid w:val="002F7F7B"/>
    <w:rsid w:val="00303636"/>
    <w:rsid w:val="003037AD"/>
    <w:rsid w:val="003133DA"/>
    <w:rsid w:val="00313B91"/>
    <w:rsid w:val="003175E5"/>
    <w:rsid w:val="0032071D"/>
    <w:rsid w:val="00344CA4"/>
    <w:rsid w:val="0034667E"/>
    <w:rsid w:val="00346BFA"/>
    <w:rsid w:val="0035185D"/>
    <w:rsid w:val="0035206B"/>
    <w:rsid w:val="0035588F"/>
    <w:rsid w:val="003617F2"/>
    <w:rsid w:val="00365A77"/>
    <w:rsid w:val="00371A62"/>
    <w:rsid w:val="00372F68"/>
    <w:rsid w:val="00377D32"/>
    <w:rsid w:val="0038307A"/>
    <w:rsid w:val="00383DDE"/>
    <w:rsid w:val="0038590E"/>
    <w:rsid w:val="00392623"/>
    <w:rsid w:val="003A62D5"/>
    <w:rsid w:val="003B3E05"/>
    <w:rsid w:val="003B49B6"/>
    <w:rsid w:val="003C22A4"/>
    <w:rsid w:val="003D55A0"/>
    <w:rsid w:val="003D5F23"/>
    <w:rsid w:val="003D718B"/>
    <w:rsid w:val="003E1129"/>
    <w:rsid w:val="003E5B36"/>
    <w:rsid w:val="003F000C"/>
    <w:rsid w:val="003F0566"/>
    <w:rsid w:val="003F1183"/>
    <w:rsid w:val="003F2269"/>
    <w:rsid w:val="003F462F"/>
    <w:rsid w:val="003F62D6"/>
    <w:rsid w:val="003F6D98"/>
    <w:rsid w:val="00404669"/>
    <w:rsid w:val="00406656"/>
    <w:rsid w:val="00417683"/>
    <w:rsid w:val="00420CB1"/>
    <w:rsid w:val="004253B5"/>
    <w:rsid w:val="00426F8D"/>
    <w:rsid w:val="00427E81"/>
    <w:rsid w:val="00432737"/>
    <w:rsid w:val="00433B9D"/>
    <w:rsid w:val="00434430"/>
    <w:rsid w:val="0044129B"/>
    <w:rsid w:val="00450576"/>
    <w:rsid w:val="00454A0C"/>
    <w:rsid w:val="00455D4F"/>
    <w:rsid w:val="00456103"/>
    <w:rsid w:val="004561C7"/>
    <w:rsid w:val="00457577"/>
    <w:rsid w:val="00460BCD"/>
    <w:rsid w:val="004667B9"/>
    <w:rsid w:val="004737A4"/>
    <w:rsid w:val="0047537C"/>
    <w:rsid w:val="004801C1"/>
    <w:rsid w:val="004804E8"/>
    <w:rsid w:val="00487E93"/>
    <w:rsid w:val="004917AC"/>
    <w:rsid w:val="004A0EA8"/>
    <w:rsid w:val="004A1318"/>
    <w:rsid w:val="004B0B1D"/>
    <w:rsid w:val="004C23F4"/>
    <w:rsid w:val="004C33F9"/>
    <w:rsid w:val="004D03E5"/>
    <w:rsid w:val="004D1540"/>
    <w:rsid w:val="004D1A5F"/>
    <w:rsid w:val="004D2DD9"/>
    <w:rsid w:val="004D3516"/>
    <w:rsid w:val="004D3558"/>
    <w:rsid w:val="004D3CA4"/>
    <w:rsid w:val="004E1EB5"/>
    <w:rsid w:val="004E4F5B"/>
    <w:rsid w:val="004E5F97"/>
    <w:rsid w:val="004E72A9"/>
    <w:rsid w:val="00501DAF"/>
    <w:rsid w:val="0050793F"/>
    <w:rsid w:val="00507E0E"/>
    <w:rsid w:val="0051096E"/>
    <w:rsid w:val="00511E23"/>
    <w:rsid w:val="00515D2F"/>
    <w:rsid w:val="00522686"/>
    <w:rsid w:val="00523E7C"/>
    <w:rsid w:val="005279E2"/>
    <w:rsid w:val="00532968"/>
    <w:rsid w:val="00534DC4"/>
    <w:rsid w:val="00536CE9"/>
    <w:rsid w:val="00541017"/>
    <w:rsid w:val="00545519"/>
    <w:rsid w:val="005505E9"/>
    <w:rsid w:val="00550CF4"/>
    <w:rsid w:val="0055272E"/>
    <w:rsid w:val="00553B5E"/>
    <w:rsid w:val="00557A98"/>
    <w:rsid w:val="00557B4D"/>
    <w:rsid w:val="00560891"/>
    <w:rsid w:val="005616F5"/>
    <w:rsid w:val="005620B7"/>
    <w:rsid w:val="00562429"/>
    <w:rsid w:val="00563A84"/>
    <w:rsid w:val="00565BB5"/>
    <w:rsid w:val="00570083"/>
    <w:rsid w:val="0057429A"/>
    <w:rsid w:val="00575649"/>
    <w:rsid w:val="0058000B"/>
    <w:rsid w:val="00580C3D"/>
    <w:rsid w:val="00582021"/>
    <w:rsid w:val="00584043"/>
    <w:rsid w:val="00586C3F"/>
    <w:rsid w:val="00587EEF"/>
    <w:rsid w:val="005A6D74"/>
    <w:rsid w:val="005A755F"/>
    <w:rsid w:val="005B1730"/>
    <w:rsid w:val="005B2D39"/>
    <w:rsid w:val="005B2FF0"/>
    <w:rsid w:val="005B7D86"/>
    <w:rsid w:val="005C13A9"/>
    <w:rsid w:val="005C361E"/>
    <w:rsid w:val="005C4544"/>
    <w:rsid w:val="005C60F5"/>
    <w:rsid w:val="005D044A"/>
    <w:rsid w:val="005D252A"/>
    <w:rsid w:val="005D367B"/>
    <w:rsid w:val="005D5507"/>
    <w:rsid w:val="005E3CDF"/>
    <w:rsid w:val="005E52E6"/>
    <w:rsid w:val="005E6B90"/>
    <w:rsid w:val="005F2440"/>
    <w:rsid w:val="005F3899"/>
    <w:rsid w:val="005F753B"/>
    <w:rsid w:val="00600D53"/>
    <w:rsid w:val="006121DB"/>
    <w:rsid w:val="00613A06"/>
    <w:rsid w:val="00615F4C"/>
    <w:rsid w:val="006160E7"/>
    <w:rsid w:val="00617BB9"/>
    <w:rsid w:val="0062592F"/>
    <w:rsid w:val="0062624A"/>
    <w:rsid w:val="00626333"/>
    <w:rsid w:val="00627A7D"/>
    <w:rsid w:val="00636917"/>
    <w:rsid w:val="0064252A"/>
    <w:rsid w:val="0064297C"/>
    <w:rsid w:val="006528D7"/>
    <w:rsid w:val="0065449B"/>
    <w:rsid w:val="006655A1"/>
    <w:rsid w:val="006712FE"/>
    <w:rsid w:val="00671A78"/>
    <w:rsid w:val="00675434"/>
    <w:rsid w:val="0067624B"/>
    <w:rsid w:val="00680146"/>
    <w:rsid w:val="006815E1"/>
    <w:rsid w:val="006856A6"/>
    <w:rsid w:val="00686A70"/>
    <w:rsid w:val="00687032"/>
    <w:rsid w:val="0069032C"/>
    <w:rsid w:val="006A23F2"/>
    <w:rsid w:val="006A47DA"/>
    <w:rsid w:val="006A47E5"/>
    <w:rsid w:val="006A6627"/>
    <w:rsid w:val="006A6A66"/>
    <w:rsid w:val="006A6CF5"/>
    <w:rsid w:val="006B1BB8"/>
    <w:rsid w:val="006B3566"/>
    <w:rsid w:val="006B7F19"/>
    <w:rsid w:val="006C05CD"/>
    <w:rsid w:val="006C78EA"/>
    <w:rsid w:val="006D23E8"/>
    <w:rsid w:val="006D42CE"/>
    <w:rsid w:val="006D461B"/>
    <w:rsid w:val="006D7F18"/>
    <w:rsid w:val="006E5D50"/>
    <w:rsid w:val="006F29DC"/>
    <w:rsid w:val="007147A7"/>
    <w:rsid w:val="0072503B"/>
    <w:rsid w:val="00725262"/>
    <w:rsid w:val="00730F04"/>
    <w:rsid w:val="00732925"/>
    <w:rsid w:val="00733C95"/>
    <w:rsid w:val="007423A3"/>
    <w:rsid w:val="00742EFC"/>
    <w:rsid w:val="00744B65"/>
    <w:rsid w:val="00750655"/>
    <w:rsid w:val="0075580A"/>
    <w:rsid w:val="00756491"/>
    <w:rsid w:val="0075713D"/>
    <w:rsid w:val="007604E1"/>
    <w:rsid w:val="00761434"/>
    <w:rsid w:val="007622F2"/>
    <w:rsid w:val="00763CA6"/>
    <w:rsid w:val="0076498F"/>
    <w:rsid w:val="00764A19"/>
    <w:rsid w:val="00766AF0"/>
    <w:rsid w:val="00770337"/>
    <w:rsid w:val="00770706"/>
    <w:rsid w:val="00780872"/>
    <w:rsid w:val="0079269C"/>
    <w:rsid w:val="00792EDA"/>
    <w:rsid w:val="00795960"/>
    <w:rsid w:val="007A0BDC"/>
    <w:rsid w:val="007A0C75"/>
    <w:rsid w:val="007A19C3"/>
    <w:rsid w:val="007A3BFC"/>
    <w:rsid w:val="007A3CE0"/>
    <w:rsid w:val="007B1870"/>
    <w:rsid w:val="007B200D"/>
    <w:rsid w:val="007B63B2"/>
    <w:rsid w:val="007B7D3C"/>
    <w:rsid w:val="007C0EAD"/>
    <w:rsid w:val="007C13FF"/>
    <w:rsid w:val="007C167B"/>
    <w:rsid w:val="007C2CC8"/>
    <w:rsid w:val="007C32E4"/>
    <w:rsid w:val="007C35B8"/>
    <w:rsid w:val="007C385A"/>
    <w:rsid w:val="007C5B2D"/>
    <w:rsid w:val="007D537B"/>
    <w:rsid w:val="007D7DFD"/>
    <w:rsid w:val="007E2750"/>
    <w:rsid w:val="007E3522"/>
    <w:rsid w:val="007E58EE"/>
    <w:rsid w:val="007F2B63"/>
    <w:rsid w:val="0080196A"/>
    <w:rsid w:val="0080389A"/>
    <w:rsid w:val="00805589"/>
    <w:rsid w:val="008122D7"/>
    <w:rsid w:val="008122E6"/>
    <w:rsid w:val="00812A49"/>
    <w:rsid w:val="00812A78"/>
    <w:rsid w:val="00813432"/>
    <w:rsid w:val="00813982"/>
    <w:rsid w:val="008142BA"/>
    <w:rsid w:val="008160BA"/>
    <w:rsid w:val="00825257"/>
    <w:rsid w:val="00826027"/>
    <w:rsid w:val="00836D14"/>
    <w:rsid w:val="008405F7"/>
    <w:rsid w:val="00844351"/>
    <w:rsid w:val="00845F4A"/>
    <w:rsid w:val="0084683B"/>
    <w:rsid w:val="00847CCA"/>
    <w:rsid w:val="00851122"/>
    <w:rsid w:val="00855182"/>
    <w:rsid w:val="00857CA7"/>
    <w:rsid w:val="00861AA4"/>
    <w:rsid w:val="008620BE"/>
    <w:rsid w:val="008652B9"/>
    <w:rsid w:val="008662F0"/>
    <w:rsid w:val="00867C4F"/>
    <w:rsid w:val="00875373"/>
    <w:rsid w:val="00875E9A"/>
    <w:rsid w:val="00881237"/>
    <w:rsid w:val="008832F1"/>
    <w:rsid w:val="0088409B"/>
    <w:rsid w:val="0088500D"/>
    <w:rsid w:val="008857EC"/>
    <w:rsid w:val="0089326A"/>
    <w:rsid w:val="008C0A40"/>
    <w:rsid w:val="008C364B"/>
    <w:rsid w:val="008D0177"/>
    <w:rsid w:val="008D0608"/>
    <w:rsid w:val="008D4634"/>
    <w:rsid w:val="008D550D"/>
    <w:rsid w:val="008D5D49"/>
    <w:rsid w:val="008D5FB8"/>
    <w:rsid w:val="008D7912"/>
    <w:rsid w:val="008E08F6"/>
    <w:rsid w:val="008E50B2"/>
    <w:rsid w:val="008E5E61"/>
    <w:rsid w:val="008F7EDF"/>
    <w:rsid w:val="00903803"/>
    <w:rsid w:val="00905067"/>
    <w:rsid w:val="009062A6"/>
    <w:rsid w:val="00912157"/>
    <w:rsid w:val="0091331A"/>
    <w:rsid w:val="009252F8"/>
    <w:rsid w:val="009335AF"/>
    <w:rsid w:val="00940712"/>
    <w:rsid w:val="0094312E"/>
    <w:rsid w:val="00944D21"/>
    <w:rsid w:val="00946D42"/>
    <w:rsid w:val="0095275B"/>
    <w:rsid w:val="00952AD9"/>
    <w:rsid w:val="00954DF2"/>
    <w:rsid w:val="009567B5"/>
    <w:rsid w:val="009567DD"/>
    <w:rsid w:val="00962520"/>
    <w:rsid w:val="00967C66"/>
    <w:rsid w:val="009806BF"/>
    <w:rsid w:val="00980ADD"/>
    <w:rsid w:val="00983909"/>
    <w:rsid w:val="009961B9"/>
    <w:rsid w:val="009A1783"/>
    <w:rsid w:val="009A3ECB"/>
    <w:rsid w:val="009A4E62"/>
    <w:rsid w:val="009B18FE"/>
    <w:rsid w:val="009C1B7F"/>
    <w:rsid w:val="009C32FC"/>
    <w:rsid w:val="009D13DB"/>
    <w:rsid w:val="009D5EC7"/>
    <w:rsid w:val="009E4B5A"/>
    <w:rsid w:val="009F2C29"/>
    <w:rsid w:val="009F35A0"/>
    <w:rsid w:val="009F50E7"/>
    <w:rsid w:val="00A02F12"/>
    <w:rsid w:val="00A0346A"/>
    <w:rsid w:val="00A0435A"/>
    <w:rsid w:val="00A04D9E"/>
    <w:rsid w:val="00A073DE"/>
    <w:rsid w:val="00A223CB"/>
    <w:rsid w:val="00A26D9D"/>
    <w:rsid w:val="00A270A8"/>
    <w:rsid w:val="00A273EC"/>
    <w:rsid w:val="00A30D43"/>
    <w:rsid w:val="00A33187"/>
    <w:rsid w:val="00A4204B"/>
    <w:rsid w:val="00A52679"/>
    <w:rsid w:val="00A6213F"/>
    <w:rsid w:val="00A80D78"/>
    <w:rsid w:val="00A8267B"/>
    <w:rsid w:val="00A82E13"/>
    <w:rsid w:val="00A855D0"/>
    <w:rsid w:val="00A87FAD"/>
    <w:rsid w:val="00A907D3"/>
    <w:rsid w:val="00A9174C"/>
    <w:rsid w:val="00A9633A"/>
    <w:rsid w:val="00AA1FAF"/>
    <w:rsid w:val="00AA2B82"/>
    <w:rsid w:val="00AA5AFA"/>
    <w:rsid w:val="00AB208A"/>
    <w:rsid w:val="00AB4E7E"/>
    <w:rsid w:val="00AC05BF"/>
    <w:rsid w:val="00AC0E76"/>
    <w:rsid w:val="00AC50E3"/>
    <w:rsid w:val="00AD268B"/>
    <w:rsid w:val="00AD2D48"/>
    <w:rsid w:val="00AD373B"/>
    <w:rsid w:val="00AD4B5F"/>
    <w:rsid w:val="00AD75BA"/>
    <w:rsid w:val="00AE425F"/>
    <w:rsid w:val="00AF3A7E"/>
    <w:rsid w:val="00B0194C"/>
    <w:rsid w:val="00B0702B"/>
    <w:rsid w:val="00B07B5F"/>
    <w:rsid w:val="00B1347C"/>
    <w:rsid w:val="00B140E6"/>
    <w:rsid w:val="00B412D9"/>
    <w:rsid w:val="00B50A8F"/>
    <w:rsid w:val="00B5298F"/>
    <w:rsid w:val="00B52C09"/>
    <w:rsid w:val="00B53D58"/>
    <w:rsid w:val="00B55700"/>
    <w:rsid w:val="00B566A4"/>
    <w:rsid w:val="00B67D9A"/>
    <w:rsid w:val="00B7341C"/>
    <w:rsid w:val="00B735A2"/>
    <w:rsid w:val="00B76DDC"/>
    <w:rsid w:val="00B77D18"/>
    <w:rsid w:val="00B87085"/>
    <w:rsid w:val="00B87966"/>
    <w:rsid w:val="00B90674"/>
    <w:rsid w:val="00B912CD"/>
    <w:rsid w:val="00B95F75"/>
    <w:rsid w:val="00B9615F"/>
    <w:rsid w:val="00BA00FC"/>
    <w:rsid w:val="00BA0383"/>
    <w:rsid w:val="00BA43EF"/>
    <w:rsid w:val="00BB183C"/>
    <w:rsid w:val="00BB245C"/>
    <w:rsid w:val="00BB2666"/>
    <w:rsid w:val="00BC0EC5"/>
    <w:rsid w:val="00BC2113"/>
    <w:rsid w:val="00BC5097"/>
    <w:rsid w:val="00BD0871"/>
    <w:rsid w:val="00BD1575"/>
    <w:rsid w:val="00BE1C13"/>
    <w:rsid w:val="00BE3840"/>
    <w:rsid w:val="00BE58A5"/>
    <w:rsid w:val="00C01E41"/>
    <w:rsid w:val="00C03A9A"/>
    <w:rsid w:val="00C06817"/>
    <w:rsid w:val="00C07288"/>
    <w:rsid w:val="00C11210"/>
    <w:rsid w:val="00C152E4"/>
    <w:rsid w:val="00C15382"/>
    <w:rsid w:val="00C20027"/>
    <w:rsid w:val="00C206AE"/>
    <w:rsid w:val="00C208B8"/>
    <w:rsid w:val="00C234D1"/>
    <w:rsid w:val="00C2704E"/>
    <w:rsid w:val="00C27CD7"/>
    <w:rsid w:val="00C34E69"/>
    <w:rsid w:val="00C36918"/>
    <w:rsid w:val="00C40231"/>
    <w:rsid w:val="00C41F56"/>
    <w:rsid w:val="00C5065C"/>
    <w:rsid w:val="00C515FB"/>
    <w:rsid w:val="00C53F59"/>
    <w:rsid w:val="00C54C38"/>
    <w:rsid w:val="00C5675C"/>
    <w:rsid w:val="00C56C2B"/>
    <w:rsid w:val="00C612F8"/>
    <w:rsid w:val="00C73381"/>
    <w:rsid w:val="00C763EF"/>
    <w:rsid w:val="00C839A8"/>
    <w:rsid w:val="00C847F8"/>
    <w:rsid w:val="00C85DA0"/>
    <w:rsid w:val="00CA037C"/>
    <w:rsid w:val="00CA270E"/>
    <w:rsid w:val="00CA7EA8"/>
    <w:rsid w:val="00CB2EA3"/>
    <w:rsid w:val="00CB6399"/>
    <w:rsid w:val="00CC45BC"/>
    <w:rsid w:val="00CD0484"/>
    <w:rsid w:val="00CE1B5E"/>
    <w:rsid w:val="00CF286C"/>
    <w:rsid w:val="00CF3B7C"/>
    <w:rsid w:val="00CF54AE"/>
    <w:rsid w:val="00D02F33"/>
    <w:rsid w:val="00D117F3"/>
    <w:rsid w:val="00D139D0"/>
    <w:rsid w:val="00D1561B"/>
    <w:rsid w:val="00D16C95"/>
    <w:rsid w:val="00D2217F"/>
    <w:rsid w:val="00D25BB0"/>
    <w:rsid w:val="00D26BE1"/>
    <w:rsid w:val="00D27D9F"/>
    <w:rsid w:val="00D401DD"/>
    <w:rsid w:val="00D419E5"/>
    <w:rsid w:val="00D41FE2"/>
    <w:rsid w:val="00D42C5E"/>
    <w:rsid w:val="00D42DDF"/>
    <w:rsid w:val="00D475E6"/>
    <w:rsid w:val="00D5258D"/>
    <w:rsid w:val="00D62F34"/>
    <w:rsid w:val="00D64867"/>
    <w:rsid w:val="00D65F91"/>
    <w:rsid w:val="00D70ABF"/>
    <w:rsid w:val="00D73F74"/>
    <w:rsid w:val="00D772BA"/>
    <w:rsid w:val="00D8209C"/>
    <w:rsid w:val="00D9107D"/>
    <w:rsid w:val="00DA2C77"/>
    <w:rsid w:val="00DA63D6"/>
    <w:rsid w:val="00DC1F68"/>
    <w:rsid w:val="00DC69E4"/>
    <w:rsid w:val="00DC6A99"/>
    <w:rsid w:val="00DD1B9F"/>
    <w:rsid w:val="00DD3C5B"/>
    <w:rsid w:val="00DD7466"/>
    <w:rsid w:val="00DE1195"/>
    <w:rsid w:val="00DF0AE9"/>
    <w:rsid w:val="00DF7F77"/>
    <w:rsid w:val="00E01654"/>
    <w:rsid w:val="00E052DD"/>
    <w:rsid w:val="00E11823"/>
    <w:rsid w:val="00E12E20"/>
    <w:rsid w:val="00E138F1"/>
    <w:rsid w:val="00E140CE"/>
    <w:rsid w:val="00E142EE"/>
    <w:rsid w:val="00E225A3"/>
    <w:rsid w:val="00E22F6E"/>
    <w:rsid w:val="00E324FB"/>
    <w:rsid w:val="00E354E3"/>
    <w:rsid w:val="00E355B8"/>
    <w:rsid w:val="00E4319A"/>
    <w:rsid w:val="00E43617"/>
    <w:rsid w:val="00E50BF1"/>
    <w:rsid w:val="00E5424C"/>
    <w:rsid w:val="00E55384"/>
    <w:rsid w:val="00E61AC4"/>
    <w:rsid w:val="00E61C40"/>
    <w:rsid w:val="00E71220"/>
    <w:rsid w:val="00E83664"/>
    <w:rsid w:val="00E9097D"/>
    <w:rsid w:val="00E94CC4"/>
    <w:rsid w:val="00E94DBB"/>
    <w:rsid w:val="00E9732D"/>
    <w:rsid w:val="00E9765F"/>
    <w:rsid w:val="00EA04CE"/>
    <w:rsid w:val="00EA2E1A"/>
    <w:rsid w:val="00EA31F1"/>
    <w:rsid w:val="00EA320B"/>
    <w:rsid w:val="00EA65EE"/>
    <w:rsid w:val="00EC0D52"/>
    <w:rsid w:val="00EC11A4"/>
    <w:rsid w:val="00EC1B01"/>
    <w:rsid w:val="00EC328A"/>
    <w:rsid w:val="00ED0487"/>
    <w:rsid w:val="00ED51C0"/>
    <w:rsid w:val="00ED5833"/>
    <w:rsid w:val="00ED6F03"/>
    <w:rsid w:val="00EE753C"/>
    <w:rsid w:val="00EE7CC0"/>
    <w:rsid w:val="00EF63AC"/>
    <w:rsid w:val="00EF7282"/>
    <w:rsid w:val="00F00AB8"/>
    <w:rsid w:val="00F102BC"/>
    <w:rsid w:val="00F14F09"/>
    <w:rsid w:val="00F15FD6"/>
    <w:rsid w:val="00F16546"/>
    <w:rsid w:val="00F16FF6"/>
    <w:rsid w:val="00F21EA7"/>
    <w:rsid w:val="00F30054"/>
    <w:rsid w:val="00F409D1"/>
    <w:rsid w:val="00F423CA"/>
    <w:rsid w:val="00F432E7"/>
    <w:rsid w:val="00F43E1C"/>
    <w:rsid w:val="00F44DF1"/>
    <w:rsid w:val="00F5048B"/>
    <w:rsid w:val="00F50D42"/>
    <w:rsid w:val="00F53EFD"/>
    <w:rsid w:val="00F543B8"/>
    <w:rsid w:val="00F5566B"/>
    <w:rsid w:val="00F62E8E"/>
    <w:rsid w:val="00F640C8"/>
    <w:rsid w:val="00F6563D"/>
    <w:rsid w:val="00F75CFA"/>
    <w:rsid w:val="00F81B8F"/>
    <w:rsid w:val="00F8290A"/>
    <w:rsid w:val="00F85A01"/>
    <w:rsid w:val="00F91214"/>
    <w:rsid w:val="00FA4DCA"/>
    <w:rsid w:val="00FA6E40"/>
    <w:rsid w:val="00FB0AF4"/>
    <w:rsid w:val="00FC1024"/>
    <w:rsid w:val="00FC2339"/>
    <w:rsid w:val="00FC5DC3"/>
    <w:rsid w:val="00FD15EB"/>
    <w:rsid w:val="00FD388D"/>
    <w:rsid w:val="00FD5862"/>
    <w:rsid w:val="00FE2DD4"/>
    <w:rsid w:val="00FE4B02"/>
    <w:rsid w:val="00FE7962"/>
    <w:rsid w:val="00FF07B1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4E72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2A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4E72A9"/>
    <w:rPr>
      <w:sz w:val="18"/>
      <w:szCs w:val="18"/>
    </w:rPr>
  </w:style>
  <w:style w:type="paragraph" w:customStyle="1" w:styleId="Default">
    <w:name w:val="Default"/>
    <w:rsid w:val="004E72A9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4E72A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E72A9"/>
  </w:style>
  <w:style w:type="character" w:styleId="a6">
    <w:name w:val="Hyperlink"/>
    <w:rsid w:val="002C5508"/>
    <w:rPr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083BEF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083BEF"/>
    <w:rPr>
      <w:kern w:val="2"/>
      <w:sz w:val="18"/>
      <w:szCs w:val="18"/>
    </w:rPr>
  </w:style>
  <w:style w:type="character" w:styleId="a8">
    <w:name w:val="annotation reference"/>
    <w:uiPriority w:val="99"/>
    <w:semiHidden/>
    <w:unhideWhenUsed/>
    <w:rsid w:val="00E140CE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E140CE"/>
    <w:pPr>
      <w:jc w:val="left"/>
    </w:pPr>
  </w:style>
  <w:style w:type="character" w:customStyle="1" w:styleId="Char3">
    <w:name w:val="批注文字 Char"/>
    <w:link w:val="a9"/>
    <w:uiPriority w:val="99"/>
    <w:semiHidden/>
    <w:rsid w:val="00E140CE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E140CE"/>
    <w:rPr>
      <w:b/>
      <w:bCs/>
    </w:rPr>
  </w:style>
  <w:style w:type="character" w:customStyle="1" w:styleId="Char4">
    <w:name w:val="批注主题 Char"/>
    <w:link w:val="aa"/>
    <w:uiPriority w:val="99"/>
    <w:semiHidden/>
    <w:rsid w:val="00E140CE"/>
    <w:rPr>
      <w:b/>
      <w:bCs/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EA3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4E72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2A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4E72A9"/>
    <w:rPr>
      <w:sz w:val="18"/>
      <w:szCs w:val="18"/>
    </w:rPr>
  </w:style>
  <w:style w:type="paragraph" w:customStyle="1" w:styleId="Default">
    <w:name w:val="Default"/>
    <w:rsid w:val="004E72A9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4E72A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E72A9"/>
  </w:style>
  <w:style w:type="character" w:styleId="a6">
    <w:name w:val="Hyperlink"/>
    <w:rsid w:val="002C5508"/>
    <w:rPr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083BEF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083BEF"/>
    <w:rPr>
      <w:kern w:val="2"/>
      <w:sz w:val="18"/>
      <w:szCs w:val="18"/>
    </w:rPr>
  </w:style>
  <w:style w:type="character" w:styleId="a8">
    <w:name w:val="annotation reference"/>
    <w:uiPriority w:val="99"/>
    <w:semiHidden/>
    <w:unhideWhenUsed/>
    <w:rsid w:val="00E140CE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E140CE"/>
    <w:pPr>
      <w:jc w:val="left"/>
    </w:pPr>
  </w:style>
  <w:style w:type="character" w:customStyle="1" w:styleId="Char3">
    <w:name w:val="批注文字 Char"/>
    <w:link w:val="a9"/>
    <w:uiPriority w:val="99"/>
    <w:semiHidden/>
    <w:rsid w:val="00E140CE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E140CE"/>
    <w:rPr>
      <w:b/>
      <w:bCs/>
    </w:rPr>
  </w:style>
  <w:style w:type="character" w:customStyle="1" w:styleId="Char4">
    <w:name w:val="批注主题 Char"/>
    <w:link w:val="aa"/>
    <w:uiPriority w:val="99"/>
    <w:semiHidden/>
    <w:rsid w:val="00E140CE"/>
    <w:rPr>
      <w:b/>
      <w:bCs/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EA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DC9AC-C8C0-4755-9BC5-F0DA0BE935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6BADA2-E5BE-4AFC-9775-BD336989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923</Characters>
  <Application>Microsoft Office Word</Application>
  <DocSecurity>0</DocSecurity>
  <Lines>7</Lines>
  <Paragraphs>2</Paragraphs>
  <ScaleCrop>false</ScaleCrop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祝丽玮</dc:creator>
  <cp:lastModifiedBy>Envicool</cp:lastModifiedBy>
  <cp:revision>3</cp:revision>
  <cp:lastPrinted>2018-09-26T08:32:00Z</cp:lastPrinted>
  <dcterms:created xsi:type="dcterms:W3CDTF">2019-12-03T11:14:00Z</dcterms:created>
  <dcterms:modified xsi:type="dcterms:W3CDTF">2019-12-03T11:23:00Z</dcterms:modified>
</cp:coreProperties>
</file>