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4" w:rsidRDefault="00BB2324" w:rsidP="00871647">
      <w:pPr>
        <w:spacing w:beforeLines="50" w:afterLines="50" w:line="360" w:lineRule="auto"/>
        <w:ind w:firstLineChars="100" w:firstLine="240"/>
        <w:rPr>
          <w:bCs/>
          <w:iCs/>
          <w:color w:val="000000"/>
          <w:sz w:val="24"/>
        </w:rPr>
      </w:pPr>
      <w:r>
        <w:rPr>
          <w:rFonts w:hAnsi="宋体" w:hint="eastAsia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002891                                </w:t>
      </w:r>
      <w:r>
        <w:rPr>
          <w:rFonts w:hAnsi="宋体" w:hint="eastAsia"/>
          <w:bCs/>
          <w:iCs/>
          <w:color w:val="000000"/>
          <w:sz w:val="24"/>
        </w:rPr>
        <w:t>证券简称：中宠股份</w:t>
      </w:r>
    </w:p>
    <w:p w:rsidR="00DE2DE4" w:rsidRDefault="00BB2324" w:rsidP="00871647">
      <w:pPr>
        <w:spacing w:beforeLines="50" w:afterLines="50" w:line="360" w:lineRule="auto"/>
        <w:jc w:val="center"/>
        <w:rPr>
          <w:b/>
          <w:bCs/>
          <w:iCs/>
          <w:color w:val="000000"/>
          <w:sz w:val="36"/>
          <w:szCs w:val="36"/>
        </w:rPr>
      </w:pPr>
      <w:r>
        <w:rPr>
          <w:rFonts w:hAnsi="宋体" w:hint="eastAsia"/>
          <w:b/>
          <w:bCs/>
          <w:iCs/>
          <w:color w:val="000000"/>
          <w:sz w:val="36"/>
          <w:szCs w:val="36"/>
        </w:rPr>
        <w:t>烟台中宠食品股份有限公司</w:t>
      </w:r>
    </w:p>
    <w:p w:rsidR="00DE2DE4" w:rsidRDefault="00BB2324" w:rsidP="00871647">
      <w:pPr>
        <w:spacing w:beforeLines="50" w:afterLines="50" w:line="360" w:lineRule="auto"/>
        <w:jc w:val="center"/>
        <w:rPr>
          <w:b/>
          <w:bCs/>
          <w:iCs/>
          <w:color w:val="000000"/>
          <w:sz w:val="36"/>
          <w:szCs w:val="36"/>
        </w:rPr>
      </w:pPr>
      <w:r>
        <w:rPr>
          <w:rFonts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:rsidR="00DE2DE4" w:rsidRDefault="00BB2324">
      <w:pPr>
        <w:spacing w:line="360" w:lineRule="auto"/>
        <w:jc w:val="right"/>
        <w:rPr>
          <w:bCs/>
          <w:iCs/>
          <w:color w:val="000000"/>
          <w:sz w:val="24"/>
        </w:rPr>
      </w:pPr>
      <w:r>
        <w:rPr>
          <w:rFonts w:hAnsi="宋体" w:hint="eastAsia"/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2019</w:t>
      </w:r>
      <w:r>
        <w:rPr>
          <w:rFonts w:hint="eastAsia"/>
          <w:bCs/>
          <w:iCs/>
          <w:color w:val="000000"/>
          <w:sz w:val="24"/>
        </w:rPr>
        <w:t>-</w:t>
      </w:r>
      <w:r>
        <w:rPr>
          <w:bCs/>
          <w:iCs/>
          <w:color w:val="000000"/>
          <w:sz w:val="24"/>
        </w:rPr>
        <w:t>00</w:t>
      </w:r>
      <w:r w:rsidR="00871647">
        <w:rPr>
          <w:rFonts w:hint="eastAsia"/>
          <w:bCs/>
          <w:iCs/>
          <w:color w:val="000000"/>
          <w:sz w:val="24"/>
        </w:rPr>
        <w:t>6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6"/>
        <w:gridCol w:w="3681"/>
      </w:tblGrid>
      <w:tr w:rsidR="00DE2DE4">
        <w:trPr>
          <w:trHeight w:val="478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■</w:t>
            </w:r>
            <w:r>
              <w:rPr>
                <w:rFonts w:hAnsi="宋体" w:hint="eastAsia"/>
                <w:sz w:val="24"/>
                <w:szCs w:val="24"/>
              </w:rPr>
              <w:t>特定对象调研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分析师会议</w:t>
            </w:r>
          </w:p>
        </w:tc>
      </w:tr>
      <w:tr w:rsidR="00DE2DE4">
        <w:trPr>
          <w:trHeight w:val="47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媒体采访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业绩说明会</w:t>
            </w:r>
          </w:p>
        </w:tc>
      </w:tr>
      <w:tr w:rsidR="00DE2DE4">
        <w:trPr>
          <w:trHeight w:val="47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新闻发布会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路演活动</w:t>
            </w:r>
          </w:p>
        </w:tc>
      </w:tr>
      <w:tr w:rsidR="00DE2DE4">
        <w:trPr>
          <w:trHeight w:val="5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现场参观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DE4" w:rsidRDefault="00BB2324">
            <w:pPr>
              <w:tabs>
                <w:tab w:val="center" w:pos="3199"/>
              </w:tabs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一对一沟通</w:t>
            </w:r>
          </w:p>
        </w:tc>
      </w:tr>
      <w:tr w:rsidR="00DE2DE4">
        <w:trPr>
          <w:trHeight w:val="39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DE2DE4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其他（请文字说明其他活动内容）</w:t>
            </w:r>
          </w:p>
        </w:tc>
      </w:tr>
      <w:tr w:rsidR="00DE2DE4">
        <w:trPr>
          <w:trHeight w:val="15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C56A74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华泰证券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殷超</w:t>
            </w:r>
          </w:p>
          <w:p w:rsidR="00C56A74" w:rsidRDefault="00C56A74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建信基金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胡泽元</w:t>
            </w:r>
          </w:p>
          <w:p w:rsidR="00C56A74" w:rsidRDefault="00C56A74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遵道资产：马睿</w:t>
            </w:r>
          </w:p>
          <w:p w:rsidR="00C56A74" w:rsidRPr="00FA3CDC" w:rsidRDefault="00C56A74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方正证券：于佳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 w:rsidR="00C56A74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 w:rsidR="00C56A74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烟台中宠食品股份有限公司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上市公司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接待人员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公司董事会秘书：史宇 </w:t>
            </w:r>
          </w:p>
          <w:p w:rsidR="00DE2DE4" w:rsidRDefault="00BB23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公司证券事务代表：侯煜玮</w:t>
            </w:r>
          </w:p>
          <w:p w:rsidR="00DE2DE4" w:rsidRDefault="0087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公司证券事务助理</w:t>
            </w:r>
            <w:r w:rsidR="00BB2324">
              <w:rPr>
                <w:rFonts w:hAnsi="宋体" w:hint="eastAsia"/>
                <w:sz w:val="24"/>
                <w:szCs w:val="24"/>
              </w:rPr>
              <w:t>：</w:t>
            </w:r>
            <w:r w:rsidR="00FA3CDC">
              <w:rPr>
                <w:rFonts w:hAnsi="宋体" w:hint="eastAsia"/>
                <w:sz w:val="24"/>
                <w:szCs w:val="24"/>
              </w:rPr>
              <w:t>逄建毅、</w:t>
            </w:r>
            <w:r w:rsidR="00BB2324">
              <w:rPr>
                <w:rFonts w:hAnsi="宋体" w:hint="eastAsia"/>
                <w:sz w:val="24"/>
                <w:szCs w:val="24"/>
              </w:rPr>
              <w:t>温晴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一、参观公司企业展厅并简要介绍公司情况</w:t>
            </w:r>
          </w:p>
          <w:p w:rsidR="00DE2DE4" w:rsidRDefault="00BB232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二、调研活动问答内容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、公司的产能情况如何？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公司的产能布局全面，能够支撑未来公司在国内市场的积极拓展。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随着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IPO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募投项目的投产，公司零食产能准备完善。目前有零食产能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万吨左右，干粮与湿粮产能各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万</w:t>
            </w:r>
            <w:r w:rsidR="00B90055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余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吨。</w:t>
            </w:r>
          </w:p>
          <w:p w:rsidR="00C56A74" w:rsidRPr="002B38B1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同时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司也在紧锣密鼓的实施可转债的募投项目的建设，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将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为公司增加约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3</w:t>
            </w:r>
            <w:r w:rsidRPr="002B38B1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万吨的湿粮产能。</w:t>
            </w:r>
          </w:p>
          <w:p w:rsidR="00C56A74" w:rsidRPr="00BE4D1A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BE4D1A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公司销售费用的主要投向是哪里？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公司的销售费用主要投向于国内市场的建设，以品牌宣传为主，持续深耕渠道。在中国宠物行业快速发展的大背景下，消费升级是国内宠物经济的主旋律。公司目前的营销策略更加注重</w:t>
            </w:r>
            <w:r w:rsidRP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品牌建设，</w:t>
            </w:r>
            <w:r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通过</w:t>
            </w:r>
            <w:r w:rsidRPr="007450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展会、专业宠物赛事、专业</w:t>
            </w:r>
            <w:r w:rsidRPr="007450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宠物媒体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、新媒体运营等多渠道</w:t>
            </w:r>
            <w:r w:rsidRPr="00BE4D1A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进行品牌推广</w:t>
            </w:r>
            <w:r w:rsidRPr="00DE79D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，抓住时机在消费者心中树立起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良好的品牌形象，增强品牌的认知度，在扩大市场份额的同时兼顾长期的可持续性发展。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0334B7">
              <w:rPr>
                <w:rFonts w:hAnsi="宋体"/>
                <w:b/>
                <w:bCs/>
                <w:iCs/>
                <w:sz w:val="24"/>
                <w:szCs w:val="24"/>
              </w:rPr>
              <w:t>农业部颁布的宠物食品新规定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对公司有何影响</w:t>
            </w:r>
            <w:r w:rsidRPr="000334B7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《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宠物饲料管理办法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》、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《宠物饲料标签规定》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等规则的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颁布与实施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标志着中国宠物食品的监管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已经进入了一个新的阶段，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更加科学合理的监管有利于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加大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国内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宠物食品安全与卫生的把控力度，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提升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食品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行业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的规范化程度，有助于实现行业的健康长期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发展，对进口宠物饲料及预混料的管理也会更加规范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公司作为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国内宠物行业健康发展的积极推动者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秉承“推动中国宠物行业健康、快速、持续发展”的使命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积极遵守与践行新法规，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保护消费者权益，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为犬猫创造一个更美好的世界。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0334B7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公司原材料的供应商有哪些？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公司产品的原料以鸡胸肉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为主。</w:t>
            </w:r>
            <w:r w:rsidR="00E30C0B"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青岛九联集团，</w:t>
            </w:r>
            <w:r w:rsidR="00E30C0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山东春雪，仙坛股份，民和股份，华英农业，新希望六和</w:t>
            </w:r>
            <w:r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等均为公司的原料供应商。</w:t>
            </w:r>
          </w:p>
          <w:p w:rsidR="00C56A74" w:rsidRPr="000334B7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0334B7">
              <w:rPr>
                <w:rFonts w:hAnsi="宋体" w:hint="eastAsia"/>
                <w:b/>
                <w:bCs/>
                <w:iCs/>
                <w:sz w:val="24"/>
                <w:szCs w:val="24"/>
              </w:rPr>
              <w:t>美国工厂现在主要从事什么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生产</w:t>
            </w:r>
            <w:r w:rsidRPr="000334B7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56A74" w:rsidRDefault="00B90055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公司美国工厂</w:t>
            </w:r>
            <w:r w:rsidR="00C56A74"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主要从事宠物零食的研发、生产及销售</w:t>
            </w:r>
            <w:r w:rsidR="00C56A7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C56A74"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主要产品为宠物零食，产品主要通过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公司客户最终销售至</w:t>
            </w:r>
            <w:r w:rsidR="00C56A74"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到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美国</w:t>
            </w:r>
            <w:r w:rsidR="00C56A74" w:rsidRPr="000334B7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商超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等场所。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ascii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 xml:space="preserve">6、贸易摩擦是否对公司造成较大的影响？ 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目前公司对美国销售的产品中，部分由中国出口至美国，部分由海外工厂生产。同时</w:t>
            </w:r>
            <w:r w:rsidRPr="00110412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于今年5月投资了柬埔寨工厂，通过在海外扩产的方式，进一步化解贸易战</w:t>
            </w:r>
            <w:r w:rsidRPr="00110412">
              <w:rPr>
                <w:rFonts w:ascii="宋体" w:hAnsi="宋体" w:cs="宋体" w:hint="eastAsia"/>
                <w:sz w:val="24"/>
                <w:szCs w:val="24"/>
              </w:rPr>
              <w:t>造成的不利影响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="480"/>
              <w:jc w:val="left"/>
              <w:rPr>
                <w:rFonts w:ascii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公司海外业务覆盖超过50个国家和地区，单一国家或地区的政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策变化，对公司整体海外销售收入影响有限。</w:t>
            </w:r>
          </w:p>
          <w:p w:rsidR="00C56A74" w:rsidRPr="00110412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ascii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7、</w:t>
            </w:r>
            <w:r w:rsidRPr="00110412"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鸡肉价格的上涨对公司业绩的影响有多大？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在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公司目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前的销售收入占比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中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，外销比例相对较高，其中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宠物零食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占比较大，其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主要原材料为鸡胸肉。公司对下游客户有调价机制，如果原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材料价格大幅波动，产品价格会有所调整，但调价一般具有滞后性。同时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随着公司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在国内市场开拓程度的不断加深，</w:t>
            </w:r>
            <w:r w:rsidR="00B90055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品类结构的持续优化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，对鸡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肉原材料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价格波动的敏感</w:t>
            </w:r>
            <w:r w:rsidRPr="00110412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度会逐渐降低。</w:t>
            </w:r>
          </w:p>
          <w:p w:rsidR="00C56A74" w:rsidRPr="007E43AB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ascii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8、</w:t>
            </w:r>
            <w:r w:rsidRPr="007E43AB"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线下的销售模式是怎样的？</w:t>
            </w:r>
          </w:p>
          <w:p w:rsidR="00C56A74" w:rsidRPr="007E43AB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线下销售主要通过经销商体系进行。</w:t>
            </w:r>
            <w:r w:rsidRPr="007E43A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公司的</w:t>
            </w:r>
            <w:r w:rsidRPr="007E43A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线下渠道覆盖全国</w:t>
            </w:r>
            <w:r w:rsidR="00B90055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主要城市及地区</w:t>
            </w:r>
            <w:r w:rsidRPr="007E43A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，每个城市</w:t>
            </w:r>
            <w:r w:rsidR="00B90055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或地区根据消费能力、养宠情况等多方面因素持续优化经销商结构</w:t>
            </w:r>
            <w:r w:rsidRPr="007E43A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C56A74" w:rsidRDefault="00C56A7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 w:rsidRPr="007E43AB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未来在国内市场现有布局的基础上，将持续对经销商体系进行优化与整合，通过对经销商规模、销售能力以及创新思维等要素进行对比分析，将优质的资源向优秀的经销商进行倾斜，实现体系的持续完善与迭代。</w:t>
            </w:r>
          </w:p>
          <w:p w:rsidR="004A481E" w:rsidRPr="00C730D2" w:rsidRDefault="004A481E" w:rsidP="00C730D2">
            <w:pPr>
              <w:widowControl/>
              <w:tabs>
                <w:tab w:val="left" w:pos="1455"/>
              </w:tabs>
              <w:spacing w:line="360" w:lineRule="auto"/>
              <w:ind w:firstLineChars="196" w:firstLine="472"/>
              <w:jc w:val="left"/>
              <w:rPr>
                <w:rFonts w:ascii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C730D2"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9、公司在宠物行业的主要壁垒有哪些？</w:t>
            </w:r>
          </w:p>
          <w:p w:rsidR="00C730D2" w:rsidRDefault="004A481E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首先在产品质量方面，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很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多宠物已经成为家庭中的组成部分，其地位越来越高，人们对于宠物食品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的品质就越来越重视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公司产品在境外销售的主要地区为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宠物食品的成熟市场，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对宠物食品的进口管理较为严格，拟向该地区出口产品的厂商需要经过相应部门（如美国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FDA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、欧盟委员会和日本农林水产省等）的审查，审查通过后获得注册、取得出口资格，方可向其出口宠物食品。在实际业务中，除了要经过官方注册外，一般还要应具体客户对产品质量管理能力、生产能力、员工待遇及公司信誉等综合素质进行考察的要求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公司在此过程中积累了过硬的产品力。</w:t>
            </w:r>
          </w:p>
          <w:p w:rsidR="004A481E" w:rsidRDefault="004A481E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其次在销售渠道方面，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目前公司线下渠道布局完善，公司自成立以来便积极布局线下渠道，已有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20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余年的积累。公司的线下渠道以专业渠道（宠物店、宠物医院等）为主，与此同时，公司亦在商超渠道以及特殊渠道（繁育舍等）有着良好的布局。</w:t>
            </w:r>
          </w:p>
          <w:p w:rsidR="004A481E" w:rsidRPr="004A481E" w:rsidRDefault="004A481E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lastRenderedPageBreak/>
              <w:t>再次在品牌方面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宠物</w:t>
            </w:r>
            <w:r w:rsid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食品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的特点决定了宠物主人在选购宠物食品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时对产品品牌格外重视，除了产品本身的质量、安全和时尚外，消费习惯、品牌产品所带来的精神上的满足感亦是重要的考虑因素。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公司通过多年的经营积累</w:t>
            </w:r>
            <w:r w:rsid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不断丰富品牌矩阵</w:t>
            </w:r>
            <w:r w:rsid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建立了较高的品牌优势，取得了较好</w:t>
            </w:r>
            <w:r w:rsidRPr="004A481E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的市场认知度。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其中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Wanpy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”品牌荣膺中国驰名商标。公司于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2018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年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11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月完成收购天然宠物食品品牌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Zeal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，以“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100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％纯天然无添加”为特点，所有产品使用新西兰当地采购的原料生产，均达到新西兰登记人食用级数，通过收购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ZEAL</w:t>
            </w:r>
            <w:r w:rsidR="00153934" w:rsidRPr="00153934"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，公司可进一步丰富品牌矩阵，扩充天然宠物食品线，满足中高端养宠人群的需要，借助公司在国内市场的渠道优势有望进一步打开国内市场。</w:t>
            </w:r>
          </w:p>
          <w:p w:rsidR="00DE2DE4" w:rsidRDefault="00BB2324" w:rsidP="00C56A74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注：以上所有交流内容均未涉及公司未公开披露的信息。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E2DE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E4" w:rsidRDefault="00BB232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 w:rsidR="00EB3853">
              <w:rPr>
                <w:rFonts w:hint="eastAsia"/>
                <w:sz w:val="24"/>
                <w:szCs w:val="24"/>
              </w:rPr>
              <w:t>1</w:t>
            </w:r>
            <w:r w:rsidR="007425DB"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 w:rsidR="007425DB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DE2DE4" w:rsidRDefault="00DE2DE4">
      <w:pPr>
        <w:spacing w:line="360" w:lineRule="auto"/>
        <w:jc w:val="center"/>
      </w:pPr>
    </w:p>
    <w:p w:rsidR="00DE2DE4" w:rsidRDefault="00DE2DE4"/>
    <w:sectPr w:rsidR="00DE2DE4" w:rsidSect="00DE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10" w:rsidRDefault="00FA2C10" w:rsidP="005F3AFD">
      <w:r>
        <w:separator/>
      </w:r>
    </w:p>
  </w:endnote>
  <w:endnote w:type="continuationSeparator" w:id="1">
    <w:p w:rsidR="00FA2C10" w:rsidRDefault="00FA2C10" w:rsidP="005F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10" w:rsidRDefault="00FA2C10" w:rsidP="005F3AFD">
      <w:r>
        <w:separator/>
      </w:r>
    </w:p>
  </w:footnote>
  <w:footnote w:type="continuationSeparator" w:id="1">
    <w:p w:rsidR="00FA2C10" w:rsidRDefault="00FA2C10" w:rsidP="005F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6D"/>
    <w:multiLevelType w:val="hybridMultilevel"/>
    <w:tmpl w:val="F5926BD8"/>
    <w:lvl w:ilvl="0" w:tplc="6BC8777A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927026"/>
    <w:multiLevelType w:val="hybridMultilevel"/>
    <w:tmpl w:val="40186A66"/>
    <w:lvl w:ilvl="0" w:tplc="8C56286C">
      <w:start w:val="1"/>
      <w:numFmt w:val="decimal"/>
      <w:lvlText w:val="%1、"/>
      <w:lvlJc w:val="left"/>
      <w:pPr>
        <w:ind w:left="347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7F310A"/>
    <w:multiLevelType w:val="hybridMultilevel"/>
    <w:tmpl w:val="A2BCB4B8"/>
    <w:lvl w:ilvl="0" w:tplc="D33884F8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7161AD"/>
    <w:multiLevelType w:val="hybridMultilevel"/>
    <w:tmpl w:val="BF7A66E4"/>
    <w:lvl w:ilvl="0" w:tplc="3438C2A4">
      <w:start w:val="10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876"/>
    <w:rsid w:val="000150FD"/>
    <w:rsid w:val="0002017E"/>
    <w:rsid w:val="000238DF"/>
    <w:rsid w:val="00027B39"/>
    <w:rsid w:val="0003147D"/>
    <w:rsid w:val="00044D8E"/>
    <w:rsid w:val="0009117C"/>
    <w:rsid w:val="00093E6D"/>
    <w:rsid w:val="000C0ACA"/>
    <w:rsid w:val="000E4418"/>
    <w:rsid w:val="000F057B"/>
    <w:rsid w:val="000F0661"/>
    <w:rsid w:val="001022B9"/>
    <w:rsid w:val="00106753"/>
    <w:rsid w:val="0011427F"/>
    <w:rsid w:val="001157A9"/>
    <w:rsid w:val="001210F0"/>
    <w:rsid w:val="001237ED"/>
    <w:rsid w:val="00125F1B"/>
    <w:rsid w:val="00127676"/>
    <w:rsid w:val="00134B2E"/>
    <w:rsid w:val="001524FA"/>
    <w:rsid w:val="00153934"/>
    <w:rsid w:val="00154410"/>
    <w:rsid w:val="001750DE"/>
    <w:rsid w:val="00182B26"/>
    <w:rsid w:val="00190AC0"/>
    <w:rsid w:val="001A7BD9"/>
    <w:rsid w:val="001B5F9E"/>
    <w:rsid w:val="001C3853"/>
    <w:rsid w:val="001D0C19"/>
    <w:rsid w:val="001D301E"/>
    <w:rsid w:val="001D7035"/>
    <w:rsid w:val="00204F5D"/>
    <w:rsid w:val="00212AAC"/>
    <w:rsid w:val="00214C11"/>
    <w:rsid w:val="00224F38"/>
    <w:rsid w:val="00255515"/>
    <w:rsid w:val="00282EB0"/>
    <w:rsid w:val="00286C08"/>
    <w:rsid w:val="00291D5C"/>
    <w:rsid w:val="002A1192"/>
    <w:rsid w:val="002C1236"/>
    <w:rsid w:val="002C24CC"/>
    <w:rsid w:val="002C4049"/>
    <w:rsid w:val="002E786D"/>
    <w:rsid w:val="002F34DA"/>
    <w:rsid w:val="00300FD1"/>
    <w:rsid w:val="00303AF8"/>
    <w:rsid w:val="003113B8"/>
    <w:rsid w:val="0032400A"/>
    <w:rsid w:val="00331378"/>
    <w:rsid w:val="003457BA"/>
    <w:rsid w:val="00372F4F"/>
    <w:rsid w:val="003A3010"/>
    <w:rsid w:val="003C5109"/>
    <w:rsid w:val="0040034A"/>
    <w:rsid w:val="004051C3"/>
    <w:rsid w:val="00432569"/>
    <w:rsid w:val="00443718"/>
    <w:rsid w:val="00443847"/>
    <w:rsid w:val="00450DFC"/>
    <w:rsid w:val="00460A3A"/>
    <w:rsid w:val="00496757"/>
    <w:rsid w:val="00497534"/>
    <w:rsid w:val="004A2B4F"/>
    <w:rsid w:val="004A3CCF"/>
    <w:rsid w:val="004A481E"/>
    <w:rsid w:val="004D13DB"/>
    <w:rsid w:val="004E0AF2"/>
    <w:rsid w:val="004F1DCC"/>
    <w:rsid w:val="00510B3B"/>
    <w:rsid w:val="00533484"/>
    <w:rsid w:val="00534620"/>
    <w:rsid w:val="00541333"/>
    <w:rsid w:val="0054356F"/>
    <w:rsid w:val="0054395A"/>
    <w:rsid w:val="005469A4"/>
    <w:rsid w:val="00561822"/>
    <w:rsid w:val="00571216"/>
    <w:rsid w:val="00574800"/>
    <w:rsid w:val="00592E66"/>
    <w:rsid w:val="00595462"/>
    <w:rsid w:val="00597C3C"/>
    <w:rsid w:val="005A3D67"/>
    <w:rsid w:val="005C015F"/>
    <w:rsid w:val="005D23A9"/>
    <w:rsid w:val="005E0044"/>
    <w:rsid w:val="005E3F9C"/>
    <w:rsid w:val="005E4894"/>
    <w:rsid w:val="005E7851"/>
    <w:rsid w:val="005F1F0E"/>
    <w:rsid w:val="005F3AFD"/>
    <w:rsid w:val="006112DD"/>
    <w:rsid w:val="006113EC"/>
    <w:rsid w:val="006168AC"/>
    <w:rsid w:val="00620088"/>
    <w:rsid w:val="006218D4"/>
    <w:rsid w:val="006252AA"/>
    <w:rsid w:val="0063654F"/>
    <w:rsid w:val="00650B3E"/>
    <w:rsid w:val="00667F35"/>
    <w:rsid w:val="0067413D"/>
    <w:rsid w:val="00680A40"/>
    <w:rsid w:val="00684E5C"/>
    <w:rsid w:val="006863AF"/>
    <w:rsid w:val="006B141C"/>
    <w:rsid w:val="006B5F2C"/>
    <w:rsid w:val="006C1879"/>
    <w:rsid w:val="006D601E"/>
    <w:rsid w:val="006D7591"/>
    <w:rsid w:val="006E7B4B"/>
    <w:rsid w:val="006F3CD9"/>
    <w:rsid w:val="00702580"/>
    <w:rsid w:val="00703405"/>
    <w:rsid w:val="007066F9"/>
    <w:rsid w:val="007206A3"/>
    <w:rsid w:val="00722560"/>
    <w:rsid w:val="007239B0"/>
    <w:rsid w:val="00727463"/>
    <w:rsid w:val="007338A1"/>
    <w:rsid w:val="007425DB"/>
    <w:rsid w:val="0074506A"/>
    <w:rsid w:val="00756085"/>
    <w:rsid w:val="007A22A7"/>
    <w:rsid w:val="007A7DC2"/>
    <w:rsid w:val="007C6E27"/>
    <w:rsid w:val="007D3837"/>
    <w:rsid w:val="007D5ABE"/>
    <w:rsid w:val="007E3687"/>
    <w:rsid w:val="0080372D"/>
    <w:rsid w:val="00806B10"/>
    <w:rsid w:val="00806B58"/>
    <w:rsid w:val="008206C0"/>
    <w:rsid w:val="00836004"/>
    <w:rsid w:val="00860587"/>
    <w:rsid w:val="00871647"/>
    <w:rsid w:val="0088166A"/>
    <w:rsid w:val="00896A1F"/>
    <w:rsid w:val="008A0E6C"/>
    <w:rsid w:val="008A0EB0"/>
    <w:rsid w:val="008A3EE2"/>
    <w:rsid w:val="008B6E63"/>
    <w:rsid w:val="008C59AF"/>
    <w:rsid w:val="008C7973"/>
    <w:rsid w:val="008F7A53"/>
    <w:rsid w:val="009117F6"/>
    <w:rsid w:val="00930912"/>
    <w:rsid w:val="00937CD8"/>
    <w:rsid w:val="00942461"/>
    <w:rsid w:val="00957698"/>
    <w:rsid w:val="009858F6"/>
    <w:rsid w:val="00985B78"/>
    <w:rsid w:val="00991383"/>
    <w:rsid w:val="00995BA2"/>
    <w:rsid w:val="00996EE0"/>
    <w:rsid w:val="009D3F21"/>
    <w:rsid w:val="009E22CA"/>
    <w:rsid w:val="009F4620"/>
    <w:rsid w:val="00A033F2"/>
    <w:rsid w:val="00A11499"/>
    <w:rsid w:val="00A15EA2"/>
    <w:rsid w:val="00A231CF"/>
    <w:rsid w:val="00A462BE"/>
    <w:rsid w:val="00A46A83"/>
    <w:rsid w:val="00A822C5"/>
    <w:rsid w:val="00AA2A87"/>
    <w:rsid w:val="00AE5E47"/>
    <w:rsid w:val="00AE710A"/>
    <w:rsid w:val="00AF3806"/>
    <w:rsid w:val="00AF5CAE"/>
    <w:rsid w:val="00AF7D83"/>
    <w:rsid w:val="00B05018"/>
    <w:rsid w:val="00B11EFF"/>
    <w:rsid w:val="00B21034"/>
    <w:rsid w:val="00B61DE2"/>
    <w:rsid w:val="00B63133"/>
    <w:rsid w:val="00B753DB"/>
    <w:rsid w:val="00B90055"/>
    <w:rsid w:val="00BA517B"/>
    <w:rsid w:val="00BB2324"/>
    <w:rsid w:val="00BB4490"/>
    <w:rsid w:val="00BB4673"/>
    <w:rsid w:val="00BC154B"/>
    <w:rsid w:val="00BC1876"/>
    <w:rsid w:val="00BD5E8E"/>
    <w:rsid w:val="00BE2C67"/>
    <w:rsid w:val="00BF4815"/>
    <w:rsid w:val="00BF5DFC"/>
    <w:rsid w:val="00C03BBC"/>
    <w:rsid w:val="00C05C7A"/>
    <w:rsid w:val="00C12D30"/>
    <w:rsid w:val="00C14436"/>
    <w:rsid w:val="00C16DF8"/>
    <w:rsid w:val="00C269F1"/>
    <w:rsid w:val="00C27570"/>
    <w:rsid w:val="00C4587B"/>
    <w:rsid w:val="00C56A74"/>
    <w:rsid w:val="00C62B24"/>
    <w:rsid w:val="00C6427A"/>
    <w:rsid w:val="00C644F3"/>
    <w:rsid w:val="00C730D2"/>
    <w:rsid w:val="00C848A4"/>
    <w:rsid w:val="00CB3404"/>
    <w:rsid w:val="00CD0376"/>
    <w:rsid w:val="00CD53D4"/>
    <w:rsid w:val="00CD5B49"/>
    <w:rsid w:val="00CF336B"/>
    <w:rsid w:val="00D02D26"/>
    <w:rsid w:val="00D076D7"/>
    <w:rsid w:val="00D2488C"/>
    <w:rsid w:val="00D37ED2"/>
    <w:rsid w:val="00D52638"/>
    <w:rsid w:val="00D55F78"/>
    <w:rsid w:val="00D85B08"/>
    <w:rsid w:val="00D944C0"/>
    <w:rsid w:val="00D9776B"/>
    <w:rsid w:val="00DB18BC"/>
    <w:rsid w:val="00DB22AD"/>
    <w:rsid w:val="00DC0404"/>
    <w:rsid w:val="00DD02C5"/>
    <w:rsid w:val="00DD6508"/>
    <w:rsid w:val="00DE2DE4"/>
    <w:rsid w:val="00E03553"/>
    <w:rsid w:val="00E057B1"/>
    <w:rsid w:val="00E12B0D"/>
    <w:rsid w:val="00E20DC6"/>
    <w:rsid w:val="00E248E3"/>
    <w:rsid w:val="00E30C0B"/>
    <w:rsid w:val="00E3413A"/>
    <w:rsid w:val="00E560C1"/>
    <w:rsid w:val="00E701E2"/>
    <w:rsid w:val="00E72D22"/>
    <w:rsid w:val="00E868E5"/>
    <w:rsid w:val="00E935AB"/>
    <w:rsid w:val="00EA0F45"/>
    <w:rsid w:val="00EA4F78"/>
    <w:rsid w:val="00EB3853"/>
    <w:rsid w:val="00EB49E9"/>
    <w:rsid w:val="00EC280B"/>
    <w:rsid w:val="00ED22FC"/>
    <w:rsid w:val="00EE651A"/>
    <w:rsid w:val="00EF14F2"/>
    <w:rsid w:val="00F10A8D"/>
    <w:rsid w:val="00F2037D"/>
    <w:rsid w:val="00F52FDA"/>
    <w:rsid w:val="00F539EC"/>
    <w:rsid w:val="00F548DA"/>
    <w:rsid w:val="00F62C12"/>
    <w:rsid w:val="00F84A52"/>
    <w:rsid w:val="00FA2C10"/>
    <w:rsid w:val="00FA3CDC"/>
    <w:rsid w:val="00FA5FC5"/>
    <w:rsid w:val="00FB12DC"/>
    <w:rsid w:val="00FB6862"/>
    <w:rsid w:val="00FC2692"/>
    <w:rsid w:val="00FC3208"/>
    <w:rsid w:val="00FC5D89"/>
    <w:rsid w:val="00FC6336"/>
    <w:rsid w:val="00FC7E60"/>
    <w:rsid w:val="3773085A"/>
    <w:rsid w:val="502A7C1D"/>
    <w:rsid w:val="5DD1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E2D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E2D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E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E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E2DE4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DE2DE4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DE2DE4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E2DE4"/>
    <w:rPr>
      <w:rFonts w:ascii="Times New Roman" w:eastAsia="宋体" w:hAnsi="Times New Roman" w:cs="Times New Roman"/>
      <w:b/>
      <w:bCs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E2DE4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E03553"/>
    <w:pPr>
      <w:ind w:firstLineChars="200" w:firstLine="420"/>
    </w:pPr>
  </w:style>
  <w:style w:type="paragraph" w:styleId="aa">
    <w:name w:val="Revision"/>
    <w:hidden/>
    <w:uiPriority w:val="99"/>
    <w:semiHidden/>
    <w:rsid w:val="00F10A8D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逄 建毅</dc:creator>
  <cp:lastModifiedBy>Lenovo</cp:lastModifiedBy>
  <cp:revision>6</cp:revision>
  <cp:lastPrinted>2019-11-27T08:39:00Z</cp:lastPrinted>
  <dcterms:created xsi:type="dcterms:W3CDTF">2019-12-12T09:57:00Z</dcterms:created>
  <dcterms:modified xsi:type="dcterms:W3CDTF">2019-12-13T08:55:00Z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