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82" w:rsidRDefault="00164BC8" w:rsidP="000F3388">
      <w:pPr>
        <w:spacing w:beforeLines="50" w:afterLines="50" w:line="400" w:lineRule="exact"/>
        <w:ind w:firstLineChars="150" w:firstLine="360"/>
        <w:jc w:val="center"/>
        <w:rPr>
          <w:rFonts w:ascii="宋体"/>
          <w:bCs/>
          <w:iCs/>
          <w:color w:val="000000"/>
          <w:sz w:val="24"/>
        </w:rPr>
      </w:pPr>
      <w:r>
        <w:rPr>
          <w:rFonts w:ascii="宋体" w:hAnsi="宋体" w:hint="eastAsia"/>
          <w:bCs/>
          <w:iCs/>
          <w:color w:val="000000"/>
          <w:sz w:val="24"/>
        </w:rPr>
        <w:t>证券代码：</w:t>
      </w:r>
      <w:r>
        <w:rPr>
          <w:rFonts w:ascii="宋体" w:hAnsi="宋体"/>
          <w:bCs/>
          <w:iCs/>
          <w:color w:val="000000"/>
          <w:sz w:val="24"/>
        </w:rPr>
        <w:t>000</w:t>
      </w:r>
      <w:r>
        <w:rPr>
          <w:rFonts w:ascii="宋体" w:hAnsi="宋体" w:hint="eastAsia"/>
          <w:bCs/>
          <w:iCs/>
          <w:color w:val="000000"/>
          <w:sz w:val="24"/>
        </w:rPr>
        <w:t>697</w:t>
      </w:r>
      <w:r>
        <w:rPr>
          <w:rFonts w:ascii="宋体" w:hAnsi="宋体"/>
          <w:bCs/>
          <w:iCs/>
          <w:color w:val="000000"/>
          <w:sz w:val="24"/>
        </w:rPr>
        <w:t xml:space="preserve">                              </w:t>
      </w:r>
      <w:r>
        <w:rPr>
          <w:rFonts w:ascii="宋体" w:hAnsi="宋体" w:hint="eastAsia"/>
          <w:bCs/>
          <w:iCs/>
          <w:color w:val="000000"/>
          <w:sz w:val="24"/>
        </w:rPr>
        <w:t>证券简称：炼石航空</w:t>
      </w:r>
    </w:p>
    <w:p w:rsidR="004F4D82" w:rsidRDefault="00164BC8" w:rsidP="000F3388">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炼石航空科技股份有限公司投资者关系活动记录表</w:t>
      </w:r>
    </w:p>
    <w:p w:rsidR="004F4D82" w:rsidRDefault="00164BC8">
      <w:pPr>
        <w:spacing w:line="400" w:lineRule="exact"/>
        <w:ind w:firstLineChars="2800" w:firstLine="6720"/>
        <w:rPr>
          <w:rFonts w:ascii="宋体"/>
          <w:bCs/>
          <w:iCs/>
          <w:color w:val="000000"/>
          <w:sz w:val="24"/>
        </w:rPr>
      </w:pPr>
      <w:r>
        <w:rPr>
          <w:rFonts w:ascii="宋体" w:hAnsi="宋体" w:hint="eastAsia"/>
          <w:bCs/>
          <w:iCs/>
          <w:color w:val="000000"/>
          <w:sz w:val="24"/>
        </w:rPr>
        <w:t>编号：</w:t>
      </w:r>
      <w:r>
        <w:rPr>
          <w:rFonts w:ascii="宋体" w:hAnsi="宋体"/>
          <w:bCs/>
          <w:iCs/>
          <w:color w:val="000000"/>
          <w:sz w:val="24"/>
        </w:rPr>
        <w:t>201</w:t>
      </w:r>
      <w:r>
        <w:rPr>
          <w:rFonts w:ascii="宋体" w:hAnsi="宋体" w:hint="eastAsia"/>
          <w:bCs/>
          <w:iCs/>
          <w:color w:val="000000"/>
          <w:sz w:val="24"/>
        </w:rPr>
        <w:t>9</w:t>
      </w:r>
      <w:r>
        <w:rPr>
          <w:rFonts w:ascii="宋体" w:hAnsi="宋体"/>
          <w:bCs/>
          <w:iCs/>
          <w:color w:val="000000"/>
          <w:sz w:val="24"/>
        </w:rPr>
        <w:t>-0</w:t>
      </w:r>
      <w:r>
        <w:rPr>
          <w:rFonts w:ascii="宋体" w:hAnsi="宋体" w:hint="eastAsia"/>
          <w:bCs/>
          <w:iCs/>
          <w:color w:val="000000"/>
          <w:sz w:val="24"/>
        </w:rPr>
        <w:t>1</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854"/>
      </w:tblGrid>
      <w:tr w:rsidR="004F4D82">
        <w:trPr>
          <w:trHeight w:val="2012"/>
          <w:jc w:val="center"/>
        </w:trPr>
        <w:tc>
          <w:tcPr>
            <w:tcW w:w="1668" w:type="dxa"/>
            <w:vAlign w:val="center"/>
          </w:tcPr>
          <w:p w:rsidR="004F4D82" w:rsidRDefault="00164BC8">
            <w:pPr>
              <w:spacing w:line="480" w:lineRule="atLeast"/>
              <w:rPr>
                <w:rFonts w:ascii="宋体"/>
                <w:b/>
                <w:bCs/>
                <w:iCs/>
                <w:color w:val="000000"/>
                <w:sz w:val="24"/>
              </w:rPr>
            </w:pPr>
            <w:r>
              <w:rPr>
                <w:rFonts w:ascii="宋体" w:hAnsi="宋体" w:hint="eastAsia"/>
                <w:b/>
                <w:bCs/>
                <w:iCs/>
                <w:color w:val="000000"/>
                <w:sz w:val="24"/>
              </w:rPr>
              <w:t>投资者关系活动类别</w:t>
            </w:r>
          </w:p>
        </w:tc>
        <w:tc>
          <w:tcPr>
            <w:tcW w:w="6854" w:type="dxa"/>
          </w:tcPr>
          <w:p w:rsidR="004F4D82" w:rsidRDefault="00164BC8">
            <w:pPr>
              <w:spacing w:line="300" w:lineRule="auto"/>
              <w:rPr>
                <w:rFonts w:ascii="宋体"/>
                <w:bCs/>
                <w:iCs/>
                <w:color w:val="000000"/>
                <w:sz w:val="24"/>
              </w:rPr>
            </w:pPr>
            <w:r>
              <w:rPr>
                <w:rFonts w:ascii="宋体" w:hAnsi="宋体" w:hint="eastAsia"/>
                <w:bCs/>
                <w:sz w:val="24"/>
              </w:rPr>
              <w:t>√</w:t>
            </w:r>
            <w:r>
              <w:rPr>
                <w:rFonts w:ascii="宋体" w:hAnsi="宋体" w:hint="eastAsia"/>
                <w:sz w:val="24"/>
              </w:rPr>
              <w:t>特定对象调研</w:t>
            </w:r>
            <w:r>
              <w:rPr>
                <w:rFonts w:ascii="宋体" w:hAnsi="宋体"/>
                <w:sz w:val="24"/>
              </w:rPr>
              <w:t xml:space="preserve">        </w:t>
            </w:r>
            <w:r>
              <w:rPr>
                <w:rFonts w:ascii="宋体" w:hAnsi="宋体" w:hint="eastAsia"/>
                <w:bCs/>
                <w:iCs/>
                <w:color w:val="000000"/>
                <w:sz w:val="24"/>
              </w:rPr>
              <w:t>□</w:t>
            </w:r>
            <w:r>
              <w:rPr>
                <w:rFonts w:ascii="宋体" w:hAnsi="宋体" w:hint="eastAsia"/>
                <w:sz w:val="24"/>
              </w:rPr>
              <w:t>分析师会议</w:t>
            </w:r>
          </w:p>
          <w:p w:rsidR="004F4D82" w:rsidRDefault="00164BC8">
            <w:pPr>
              <w:spacing w:line="300" w:lineRule="auto"/>
              <w:rPr>
                <w:rFonts w:ascii="宋体"/>
                <w:bCs/>
                <w:iCs/>
                <w:color w:val="000000"/>
                <w:sz w:val="24"/>
              </w:rPr>
            </w:pPr>
            <w:r>
              <w:rPr>
                <w:rFonts w:ascii="宋体" w:hAnsi="宋体" w:hint="eastAsia"/>
                <w:bCs/>
                <w:iCs/>
                <w:color w:val="000000"/>
                <w:sz w:val="24"/>
              </w:rPr>
              <w:t>□</w:t>
            </w:r>
            <w:r>
              <w:rPr>
                <w:rFonts w:ascii="宋体" w:hAnsi="宋体" w:hint="eastAsia"/>
                <w:sz w:val="24"/>
              </w:rPr>
              <w:t>媒体采访</w:t>
            </w:r>
            <w:r>
              <w:rPr>
                <w:rFonts w:ascii="宋体" w:hAnsi="宋体"/>
                <w:sz w:val="24"/>
              </w:rPr>
              <w:t xml:space="preserve">            </w:t>
            </w:r>
            <w:r>
              <w:rPr>
                <w:rFonts w:ascii="宋体" w:hAnsi="宋体" w:hint="eastAsia"/>
                <w:bCs/>
                <w:iCs/>
                <w:color w:val="000000"/>
                <w:sz w:val="24"/>
              </w:rPr>
              <w:t>□</w:t>
            </w:r>
            <w:r>
              <w:rPr>
                <w:rFonts w:ascii="宋体" w:hAnsi="宋体" w:hint="eastAsia"/>
                <w:sz w:val="24"/>
              </w:rPr>
              <w:t>业绩说明会</w:t>
            </w:r>
          </w:p>
          <w:p w:rsidR="004F4D82" w:rsidRDefault="00164BC8">
            <w:pPr>
              <w:spacing w:line="300" w:lineRule="auto"/>
              <w:rPr>
                <w:rFonts w:ascii="宋体"/>
                <w:bCs/>
                <w:iCs/>
                <w:color w:val="000000"/>
                <w:sz w:val="24"/>
              </w:rPr>
            </w:pPr>
            <w:r>
              <w:rPr>
                <w:rFonts w:ascii="宋体" w:hAnsi="宋体" w:hint="eastAsia"/>
                <w:bCs/>
                <w:iCs/>
                <w:color w:val="000000"/>
                <w:sz w:val="24"/>
              </w:rPr>
              <w:t>□</w:t>
            </w:r>
            <w:r>
              <w:rPr>
                <w:rFonts w:ascii="宋体" w:hAnsi="宋体" w:hint="eastAsia"/>
                <w:sz w:val="24"/>
              </w:rPr>
              <w:t>新闻发布会</w:t>
            </w:r>
            <w:r>
              <w:rPr>
                <w:rFonts w:ascii="宋体" w:hAnsi="宋体"/>
                <w:sz w:val="24"/>
              </w:rPr>
              <w:t xml:space="preserve">          </w:t>
            </w:r>
            <w:r>
              <w:rPr>
                <w:rFonts w:ascii="宋体" w:hAnsi="宋体" w:hint="eastAsia"/>
                <w:bCs/>
                <w:iCs/>
                <w:color w:val="000000"/>
                <w:sz w:val="24"/>
              </w:rPr>
              <w:t>□</w:t>
            </w:r>
            <w:r>
              <w:rPr>
                <w:rFonts w:ascii="宋体" w:hAnsi="宋体" w:hint="eastAsia"/>
                <w:sz w:val="24"/>
              </w:rPr>
              <w:t>路演活动</w:t>
            </w:r>
          </w:p>
          <w:p w:rsidR="004F4D82" w:rsidRDefault="00164BC8">
            <w:pPr>
              <w:tabs>
                <w:tab w:val="left" w:pos="3045"/>
                <w:tab w:val="center" w:pos="3199"/>
              </w:tabs>
              <w:spacing w:line="300" w:lineRule="auto"/>
              <w:rPr>
                <w:rFonts w:asci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bCs/>
                <w:iCs/>
                <w:color w:val="000000"/>
                <w:sz w:val="24"/>
              </w:rPr>
              <w:tab/>
            </w:r>
          </w:p>
          <w:p w:rsidR="004F4D82" w:rsidRDefault="00164BC8">
            <w:pPr>
              <w:tabs>
                <w:tab w:val="center" w:pos="3199"/>
              </w:tabs>
              <w:spacing w:line="300" w:lineRule="auto"/>
              <w:rPr>
                <w:rFonts w:ascii="宋体"/>
                <w:bCs/>
                <w:iCs/>
                <w:color w:val="000000"/>
                <w:sz w:val="24"/>
              </w:rPr>
            </w:pPr>
            <w:r>
              <w:rPr>
                <w:rFonts w:ascii="宋体" w:hAnsi="宋体" w:hint="eastAsia"/>
                <w:bCs/>
                <w:iCs/>
                <w:color w:val="000000"/>
                <w:sz w:val="24"/>
              </w:rPr>
              <w:t>□</w:t>
            </w:r>
            <w:r>
              <w:rPr>
                <w:rFonts w:ascii="宋体" w:hAnsi="宋体" w:hint="eastAsia"/>
                <w:sz w:val="24"/>
              </w:rPr>
              <w:t>其他</w:t>
            </w:r>
          </w:p>
        </w:tc>
      </w:tr>
      <w:tr w:rsidR="004F4D82" w:rsidTr="006A363D">
        <w:trPr>
          <w:trHeight w:val="1970"/>
          <w:jc w:val="center"/>
        </w:trPr>
        <w:tc>
          <w:tcPr>
            <w:tcW w:w="1668" w:type="dxa"/>
            <w:vAlign w:val="center"/>
          </w:tcPr>
          <w:p w:rsidR="004F4D82" w:rsidRDefault="00164BC8" w:rsidP="008E07A0">
            <w:pPr>
              <w:spacing w:line="480" w:lineRule="atLeast"/>
              <w:rPr>
                <w:rFonts w:ascii="宋体"/>
                <w:b/>
                <w:bCs/>
                <w:iCs/>
                <w:color w:val="000000"/>
                <w:sz w:val="24"/>
              </w:rPr>
            </w:pPr>
            <w:r>
              <w:rPr>
                <w:rFonts w:ascii="宋体" w:hAnsi="宋体" w:hint="eastAsia"/>
                <w:b/>
                <w:bCs/>
                <w:iCs/>
                <w:color w:val="000000"/>
                <w:sz w:val="24"/>
              </w:rPr>
              <w:t>参与单位名称及人员</w:t>
            </w:r>
          </w:p>
        </w:tc>
        <w:tc>
          <w:tcPr>
            <w:tcW w:w="6854" w:type="dxa"/>
            <w:vAlign w:val="center"/>
          </w:tcPr>
          <w:p w:rsidR="004F4D82" w:rsidRDefault="00164BC8" w:rsidP="006A363D">
            <w:pPr>
              <w:spacing w:line="480" w:lineRule="atLeast"/>
              <w:rPr>
                <w:rFonts w:ascii="宋体"/>
                <w:bCs/>
                <w:iCs/>
                <w:color w:val="000000"/>
                <w:sz w:val="24"/>
              </w:rPr>
            </w:pPr>
            <w:proofErr w:type="gramStart"/>
            <w:r>
              <w:rPr>
                <w:rFonts w:ascii="宋体" w:hint="eastAsia"/>
                <w:bCs/>
                <w:iCs/>
                <w:color w:val="000000"/>
                <w:sz w:val="24"/>
              </w:rPr>
              <w:t>申万宏</w:t>
            </w:r>
            <w:proofErr w:type="gramEnd"/>
            <w:r>
              <w:rPr>
                <w:rFonts w:ascii="宋体" w:hint="eastAsia"/>
                <w:bCs/>
                <w:iCs/>
                <w:color w:val="000000"/>
                <w:sz w:val="24"/>
              </w:rPr>
              <w:t>源研究所国防军</w:t>
            </w:r>
            <w:proofErr w:type="gramStart"/>
            <w:r>
              <w:rPr>
                <w:rFonts w:ascii="宋体" w:hint="eastAsia"/>
                <w:bCs/>
                <w:iCs/>
                <w:color w:val="000000"/>
                <w:sz w:val="24"/>
              </w:rPr>
              <w:t>工分析</w:t>
            </w:r>
            <w:proofErr w:type="gramEnd"/>
            <w:r>
              <w:rPr>
                <w:rFonts w:ascii="宋体" w:hint="eastAsia"/>
                <w:bCs/>
                <w:iCs/>
                <w:color w:val="000000"/>
                <w:sz w:val="24"/>
              </w:rPr>
              <w:t>师</w:t>
            </w:r>
            <w:r w:rsidR="006A363D">
              <w:rPr>
                <w:rFonts w:ascii="宋体" w:hint="eastAsia"/>
                <w:bCs/>
                <w:iCs/>
                <w:color w:val="000000"/>
                <w:sz w:val="24"/>
              </w:rPr>
              <w:t>、</w:t>
            </w:r>
            <w:r>
              <w:rPr>
                <w:rFonts w:ascii="宋体" w:hint="eastAsia"/>
                <w:bCs/>
                <w:iCs/>
                <w:color w:val="000000"/>
                <w:sz w:val="24"/>
              </w:rPr>
              <w:t>申万菱信基金研究员</w:t>
            </w:r>
          </w:p>
        </w:tc>
      </w:tr>
      <w:tr w:rsidR="004F4D82" w:rsidTr="006A363D">
        <w:trPr>
          <w:jc w:val="center"/>
        </w:trPr>
        <w:tc>
          <w:tcPr>
            <w:tcW w:w="1668" w:type="dxa"/>
          </w:tcPr>
          <w:p w:rsidR="004F4D82" w:rsidRDefault="00164BC8" w:rsidP="006A363D">
            <w:pPr>
              <w:spacing w:line="480" w:lineRule="atLeast"/>
              <w:rPr>
                <w:rFonts w:ascii="宋体"/>
                <w:b/>
                <w:bCs/>
                <w:iCs/>
                <w:color w:val="000000"/>
                <w:sz w:val="24"/>
              </w:rPr>
            </w:pPr>
            <w:r>
              <w:rPr>
                <w:rFonts w:ascii="宋体" w:hAnsi="宋体" w:hint="eastAsia"/>
                <w:b/>
                <w:bCs/>
                <w:iCs/>
                <w:color w:val="000000"/>
                <w:sz w:val="24"/>
              </w:rPr>
              <w:t>时间</w:t>
            </w:r>
          </w:p>
        </w:tc>
        <w:tc>
          <w:tcPr>
            <w:tcW w:w="6854" w:type="dxa"/>
          </w:tcPr>
          <w:p w:rsidR="004F4D82" w:rsidRPr="006A363D" w:rsidRDefault="00164BC8" w:rsidP="00833002">
            <w:pPr>
              <w:spacing w:line="480" w:lineRule="atLeast"/>
              <w:rPr>
                <w:rFonts w:ascii="宋体"/>
                <w:bCs/>
                <w:iCs/>
                <w:sz w:val="24"/>
              </w:rPr>
            </w:pPr>
            <w:r w:rsidRPr="006A363D">
              <w:rPr>
                <w:rFonts w:ascii="宋体"/>
                <w:bCs/>
                <w:iCs/>
                <w:sz w:val="24"/>
              </w:rPr>
              <w:t>201</w:t>
            </w:r>
            <w:r w:rsidRPr="006A363D">
              <w:rPr>
                <w:rFonts w:ascii="宋体" w:hint="eastAsia"/>
                <w:bCs/>
                <w:iCs/>
                <w:sz w:val="24"/>
              </w:rPr>
              <w:t>9年12月18日下午</w:t>
            </w:r>
            <w:r w:rsidR="00833002">
              <w:rPr>
                <w:rFonts w:ascii="宋体" w:hint="eastAsia"/>
                <w:bCs/>
                <w:iCs/>
                <w:sz w:val="24"/>
              </w:rPr>
              <w:t>15</w:t>
            </w:r>
            <w:r w:rsidRPr="006A363D">
              <w:rPr>
                <w:rFonts w:ascii="宋体" w:hint="eastAsia"/>
                <w:bCs/>
                <w:iCs/>
                <w:sz w:val="24"/>
              </w:rPr>
              <w:t>:30—</w:t>
            </w:r>
            <w:r w:rsidR="00833002">
              <w:rPr>
                <w:rFonts w:ascii="宋体" w:hint="eastAsia"/>
                <w:bCs/>
                <w:iCs/>
                <w:sz w:val="24"/>
              </w:rPr>
              <w:t>16</w:t>
            </w:r>
            <w:r w:rsidRPr="006A363D">
              <w:rPr>
                <w:rFonts w:ascii="宋体" w:hint="eastAsia"/>
                <w:bCs/>
                <w:iCs/>
                <w:sz w:val="24"/>
              </w:rPr>
              <w:t>:</w:t>
            </w:r>
            <w:r w:rsidR="00833002">
              <w:rPr>
                <w:rFonts w:ascii="宋体" w:hint="eastAsia"/>
                <w:bCs/>
                <w:iCs/>
                <w:sz w:val="24"/>
              </w:rPr>
              <w:t>4</w:t>
            </w:r>
            <w:r w:rsidRPr="006A363D">
              <w:rPr>
                <w:rFonts w:ascii="宋体" w:hint="eastAsia"/>
                <w:bCs/>
                <w:iCs/>
                <w:sz w:val="24"/>
              </w:rPr>
              <w:t>0</w:t>
            </w:r>
          </w:p>
        </w:tc>
      </w:tr>
      <w:tr w:rsidR="004F4D82" w:rsidTr="006A363D">
        <w:trPr>
          <w:jc w:val="center"/>
        </w:trPr>
        <w:tc>
          <w:tcPr>
            <w:tcW w:w="1668" w:type="dxa"/>
          </w:tcPr>
          <w:p w:rsidR="004F4D82" w:rsidRDefault="00164BC8" w:rsidP="006A363D">
            <w:pPr>
              <w:spacing w:line="480" w:lineRule="atLeast"/>
              <w:rPr>
                <w:rFonts w:ascii="宋体"/>
                <w:b/>
                <w:bCs/>
                <w:iCs/>
                <w:color w:val="000000"/>
                <w:sz w:val="24"/>
              </w:rPr>
            </w:pPr>
            <w:r>
              <w:rPr>
                <w:rFonts w:ascii="宋体" w:hAnsi="宋体" w:hint="eastAsia"/>
                <w:b/>
                <w:bCs/>
                <w:iCs/>
                <w:color w:val="000000"/>
                <w:sz w:val="24"/>
              </w:rPr>
              <w:t>地点</w:t>
            </w:r>
          </w:p>
        </w:tc>
        <w:tc>
          <w:tcPr>
            <w:tcW w:w="6854" w:type="dxa"/>
          </w:tcPr>
          <w:p w:rsidR="004F4D82" w:rsidRDefault="00164BC8" w:rsidP="006A363D">
            <w:pPr>
              <w:spacing w:line="480" w:lineRule="atLeast"/>
              <w:rPr>
                <w:rFonts w:ascii="宋体"/>
                <w:bCs/>
                <w:iCs/>
                <w:color w:val="000000"/>
                <w:sz w:val="24"/>
              </w:rPr>
            </w:pPr>
            <w:r>
              <w:rPr>
                <w:rFonts w:ascii="宋体" w:hint="eastAsia"/>
                <w:bCs/>
                <w:iCs/>
                <w:color w:val="000000"/>
                <w:sz w:val="24"/>
              </w:rPr>
              <w:t>公司全资子公司</w:t>
            </w:r>
            <w:r>
              <w:rPr>
                <w:rFonts w:ascii="宋体"/>
                <w:bCs/>
                <w:iCs/>
                <w:color w:val="000000"/>
                <w:sz w:val="24"/>
              </w:rPr>
              <w:t>成都航宇超合金技术有限公司会议室</w:t>
            </w:r>
          </w:p>
        </w:tc>
      </w:tr>
      <w:tr w:rsidR="004F4D82">
        <w:trPr>
          <w:trHeight w:val="1036"/>
          <w:jc w:val="center"/>
        </w:trPr>
        <w:tc>
          <w:tcPr>
            <w:tcW w:w="1668" w:type="dxa"/>
          </w:tcPr>
          <w:p w:rsidR="004F4D82" w:rsidRDefault="00164BC8">
            <w:pPr>
              <w:spacing w:line="480" w:lineRule="atLeast"/>
              <w:rPr>
                <w:rFonts w:ascii="宋体"/>
                <w:b/>
                <w:bCs/>
                <w:iCs/>
                <w:color w:val="000000"/>
                <w:sz w:val="24"/>
              </w:rPr>
            </w:pPr>
            <w:r>
              <w:rPr>
                <w:rFonts w:ascii="宋体" w:hAnsi="宋体" w:hint="eastAsia"/>
                <w:b/>
                <w:bCs/>
                <w:iCs/>
                <w:color w:val="000000"/>
                <w:sz w:val="24"/>
              </w:rPr>
              <w:t>上市公司接待人员姓名</w:t>
            </w:r>
          </w:p>
        </w:tc>
        <w:tc>
          <w:tcPr>
            <w:tcW w:w="6854" w:type="dxa"/>
            <w:vAlign w:val="center"/>
          </w:tcPr>
          <w:p w:rsidR="004F4D82" w:rsidRDefault="00164BC8">
            <w:pPr>
              <w:spacing w:line="300" w:lineRule="auto"/>
              <w:rPr>
                <w:rFonts w:ascii="宋体"/>
                <w:bCs/>
                <w:iCs/>
                <w:color w:val="000000"/>
                <w:sz w:val="24"/>
              </w:rPr>
            </w:pPr>
            <w:r>
              <w:rPr>
                <w:rFonts w:ascii="宋体" w:hint="eastAsia"/>
                <w:bCs/>
                <w:iCs/>
                <w:color w:val="000000"/>
                <w:sz w:val="24"/>
              </w:rPr>
              <w:t xml:space="preserve">财务总监：翟红梅      </w:t>
            </w:r>
          </w:p>
          <w:p w:rsidR="004F4D82" w:rsidRDefault="00164BC8">
            <w:pPr>
              <w:spacing w:line="300" w:lineRule="auto"/>
              <w:rPr>
                <w:rFonts w:ascii="宋体"/>
                <w:bCs/>
                <w:iCs/>
                <w:color w:val="000000"/>
                <w:sz w:val="24"/>
              </w:rPr>
            </w:pPr>
            <w:r>
              <w:rPr>
                <w:rFonts w:ascii="宋体" w:hint="eastAsia"/>
                <w:bCs/>
                <w:iCs/>
                <w:color w:val="000000"/>
                <w:sz w:val="24"/>
              </w:rPr>
              <w:t>朗星无人机系统有限公司常务副总经理：相里</w:t>
            </w:r>
            <w:proofErr w:type="gramStart"/>
            <w:r>
              <w:rPr>
                <w:rFonts w:ascii="宋体" w:hint="eastAsia"/>
                <w:bCs/>
                <w:iCs/>
                <w:color w:val="000000"/>
                <w:sz w:val="24"/>
              </w:rPr>
              <w:t>麒</w:t>
            </w:r>
            <w:proofErr w:type="gramEnd"/>
          </w:p>
        </w:tc>
      </w:tr>
      <w:tr w:rsidR="004F4D82">
        <w:trPr>
          <w:jc w:val="center"/>
        </w:trPr>
        <w:tc>
          <w:tcPr>
            <w:tcW w:w="1668" w:type="dxa"/>
            <w:vAlign w:val="center"/>
          </w:tcPr>
          <w:p w:rsidR="004F4D82" w:rsidRDefault="00164BC8">
            <w:pPr>
              <w:spacing w:line="480" w:lineRule="atLeast"/>
              <w:rPr>
                <w:rFonts w:ascii="宋体"/>
                <w:b/>
                <w:bCs/>
                <w:iCs/>
                <w:color w:val="000000"/>
                <w:sz w:val="24"/>
              </w:rPr>
            </w:pPr>
            <w:r>
              <w:rPr>
                <w:rFonts w:ascii="宋体" w:hAnsi="宋体" w:hint="eastAsia"/>
                <w:b/>
                <w:bCs/>
                <w:iCs/>
                <w:color w:val="000000"/>
                <w:sz w:val="24"/>
              </w:rPr>
              <w:t>投资者关系活动主要内容介绍</w:t>
            </w:r>
          </w:p>
        </w:tc>
        <w:tc>
          <w:tcPr>
            <w:tcW w:w="6854" w:type="dxa"/>
          </w:tcPr>
          <w:p w:rsidR="004F4D82" w:rsidRDefault="00164BC8">
            <w:pPr>
              <w:widowControl/>
              <w:spacing w:line="360" w:lineRule="auto"/>
              <w:jc w:val="left"/>
              <w:rPr>
                <w:rFonts w:ascii="宋体"/>
                <w:b/>
                <w:bCs/>
                <w:iCs/>
                <w:color w:val="000000"/>
                <w:sz w:val="24"/>
              </w:rPr>
            </w:pPr>
            <w:r>
              <w:rPr>
                <w:rFonts w:ascii="宋体" w:hAnsi="宋体" w:hint="eastAsia"/>
                <w:b/>
                <w:bCs/>
                <w:iCs/>
                <w:color w:val="000000"/>
                <w:sz w:val="24"/>
              </w:rPr>
              <w:t>投资者提问：</w:t>
            </w:r>
          </w:p>
          <w:p w:rsidR="004F4D82" w:rsidRDefault="00164BC8">
            <w:pPr>
              <w:widowControl/>
              <w:spacing w:line="360" w:lineRule="auto"/>
              <w:rPr>
                <w:rFonts w:ascii="宋体"/>
                <w:b/>
                <w:bCs/>
                <w:iCs/>
                <w:color w:val="000000"/>
                <w:sz w:val="24"/>
              </w:rPr>
            </w:pPr>
            <w:r>
              <w:rPr>
                <w:rFonts w:ascii="宋体"/>
                <w:b/>
                <w:bCs/>
                <w:iCs/>
                <w:color w:val="000000"/>
                <w:sz w:val="24"/>
              </w:rPr>
              <w:t>1、</w:t>
            </w:r>
            <w:r>
              <w:rPr>
                <w:rFonts w:ascii="宋体" w:hint="eastAsia"/>
                <w:b/>
                <w:bCs/>
                <w:iCs/>
                <w:color w:val="000000"/>
                <w:sz w:val="24"/>
              </w:rPr>
              <w:t>公司主要业务情况。</w:t>
            </w:r>
          </w:p>
          <w:p w:rsidR="004F4D82" w:rsidRDefault="00164BC8">
            <w:pPr>
              <w:widowControl/>
              <w:spacing w:line="360" w:lineRule="auto"/>
              <w:ind w:firstLineChars="200" w:firstLine="480"/>
              <w:rPr>
                <w:rFonts w:ascii="宋体"/>
                <w:bCs/>
                <w:iCs/>
                <w:color w:val="000000"/>
                <w:sz w:val="24"/>
              </w:rPr>
            </w:pPr>
            <w:r>
              <w:rPr>
                <w:rFonts w:ascii="宋体" w:hint="eastAsia"/>
                <w:bCs/>
                <w:iCs/>
                <w:color w:val="000000"/>
                <w:sz w:val="24"/>
              </w:rPr>
              <w:t>公司原是以金属矿产资源采选、销售为主业的有色金属行业，投资设立多家航空类子公司后成为控股型平台并进入航空产业链。自2013年7月起，公司陆续投资设立了成都航宇超合金技术有限公司、成都中科航空发动机有限公司、朗星无人机系统有限公司和成都航旭涂层技术有限公司，</w:t>
            </w:r>
            <w:r>
              <w:rPr>
                <w:rFonts w:ascii="宋体" w:hint="eastAsia"/>
                <w:bCs/>
                <w:iCs/>
                <w:sz w:val="24"/>
              </w:rPr>
              <w:t>并于2017年6月收购英国Gardner，完</w:t>
            </w:r>
            <w:r>
              <w:rPr>
                <w:rFonts w:ascii="宋体" w:hint="eastAsia"/>
                <w:bCs/>
                <w:iCs/>
                <w:color w:val="000000"/>
                <w:sz w:val="24"/>
              </w:rPr>
              <w:t>成了对航空业务的战略布局，构建了“</w:t>
            </w:r>
            <w:proofErr w:type="gramStart"/>
            <w:r>
              <w:rPr>
                <w:rFonts w:ascii="宋体" w:hint="eastAsia"/>
                <w:bCs/>
                <w:iCs/>
                <w:color w:val="000000"/>
                <w:sz w:val="24"/>
              </w:rPr>
              <w:t>铼</w:t>
            </w:r>
            <w:proofErr w:type="gramEnd"/>
            <w:r>
              <w:rPr>
                <w:rFonts w:ascii="宋体" w:hint="eastAsia"/>
                <w:bCs/>
                <w:iCs/>
                <w:color w:val="000000"/>
                <w:sz w:val="24"/>
              </w:rPr>
              <w:t>元素→高温合金→单晶叶片→航空零部件→航空发动机→大型无人机整机”完整的产业链。</w:t>
            </w:r>
          </w:p>
          <w:p w:rsidR="004F4D82" w:rsidRDefault="00164BC8">
            <w:pPr>
              <w:spacing w:line="360" w:lineRule="auto"/>
              <w:rPr>
                <w:rFonts w:ascii="宋体"/>
                <w:bCs/>
                <w:iCs/>
                <w:color w:val="000000"/>
                <w:sz w:val="24"/>
              </w:rPr>
            </w:pPr>
            <w:r>
              <w:rPr>
                <w:rFonts w:ascii="宋体" w:hint="eastAsia"/>
                <w:b/>
                <w:bCs/>
                <w:iCs/>
                <w:color w:val="000000"/>
                <w:sz w:val="24"/>
              </w:rPr>
              <w:t>2、炼石矿业2016年4月份暂停了了钼精粉的生产，于2018年4月恢复了钼矿采选业务，预计今年复产的情况和盈利情况。</w:t>
            </w:r>
          </w:p>
          <w:p w:rsidR="004F4D82" w:rsidRDefault="00164BC8">
            <w:pPr>
              <w:spacing w:line="360" w:lineRule="auto"/>
              <w:ind w:firstLine="420"/>
              <w:rPr>
                <w:rFonts w:ascii="宋体"/>
                <w:bCs/>
                <w:iCs/>
                <w:color w:val="C0504D" w:themeColor="accent2"/>
                <w:sz w:val="24"/>
              </w:rPr>
            </w:pPr>
            <w:r>
              <w:rPr>
                <w:rFonts w:ascii="宋体" w:hint="eastAsia"/>
                <w:bCs/>
                <w:iCs/>
                <w:color w:val="000000"/>
                <w:sz w:val="24"/>
              </w:rPr>
              <w:t>公司金属矿产资源采选、和销售业务，主要产品是钼精粉。</w:t>
            </w:r>
            <w:r>
              <w:rPr>
                <w:rFonts w:ascii="宋体" w:hint="eastAsia"/>
                <w:bCs/>
                <w:iCs/>
                <w:color w:val="000000"/>
                <w:sz w:val="24"/>
              </w:rPr>
              <w:lastRenderedPageBreak/>
              <w:t>炼石矿业是否盈利受制于钼精粉的市场价格的高低</w:t>
            </w:r>
            <w:r>
              <w:rPr>
                <w:rFonts w:ascii="宋体" w:hint="eastAsia"/>
                <w:bCs/>
                <w:iCs/>
                <w:sz w:val="24"/>
              </w:rPr>
              <w:t>，钼精粉的价格波动较大，总体今年略好于去年，但仍未实现扭亏为盈。</w:t>
            </w:r>
          </w:p>
          <w:p w:rsidR="004F4D82" w:rsidRDefault="00164BC8">
            <w:pPr>
              <w:spacing w:line="360" w:lineRule="auto"/>
              <w:rPr>
                <w:rFonts w:ascii="宋体"/>
                <w:b/>
                <w:bCs/>
                <w:iCs/>
                <w:color w:val="000000"/>
                <w:sz w:val="24"/>
              </w:rPr>
            </w:pPr>
            <w:r>
              <w:rPr>
                <w:rFonts w:ascii="宋体" w:hint="eastAsia"/>
                <w:b/>
                <w:bCs/>
                <w:iCs/>
                <w:color w:val="000000"/>
                <w:sz w:val="24"/>
              </w:rPr>
              <w:t>3、</w:t>
            </w:r>
            <w:r>
              <w:rPr>
                <w:rFonts w:ascii="宋体" w:hint="eastAsia"/>
                <w:b/>
                <w:bCs/>
                <w:iCs/>
                <w:color w:val="000000"/>
                <w:sz w:val="24"/>
              </w:rPr>
              <w:t> </w:t>
            </w:r>
            <w:r>
              <w:rPr>
                <w:rFonts w:ascii="宋体" w:hint="eastAsia"/>
                <w:b/>
                <w:bCs/>
                <w:iCs/>
                <w:color w:val="000000"/>
                <w:sz w:val="24"/>
              </w:rPr>
              <w:t xml:space="preserve"> 公司目前主要业绩来源于境外公司，是否人民币对欧元贬值受益（体现在母公司报表上）？公司是否对汇率进行套保？Gardner收入和利润确认是否主要在下半年？</w:t>
            </w:r>
          </w:p>
          <w:p w:rsidR="004F4D82" w:rsidRDefault="00164BC8">
            <w:pPr>
              <w:spacing w:line="360" w:lineRule="auto"/>
              <w:ind w:firstLine="420"/>
              <w:rPr>
                <w:rFonts w:ascii="宋体"/>
                <w:bCs/>
                <w:iCs/>
                <w:color w:val="000000"/>
                <w:sz w:val="24"/>
              </w:rPr>
            </w:pPr>
            <w:r>
              <w:rPr>
                <w:rFonts w:ascii="宋体" w:hint="eastAsia"/>
                <w:bCs/>
                <w:iCs/>
                <w:color w:val="000000"/>
                <w:sz w:val="24"/>
              </w:rPr>
              <w:t>是的。2017年6月12日，公司实施完成了对英国Gardner 100%股权的收购事项。</w:t>
            </w:r>
            <w:r>
              <w:rPr>
                <w:rFonts w:ascii="宋体"/>
                <w:bCs/>
                <w:iCs/>
                <w:color w:val="000000"/>
                <w:sz w:val="24"/>
              </w:rPr>
              <w:t>英国</w:t>
            </w:r>
            <w:r>
              <w:rPr>
                <w:rFonts w:ascii="宋体" w:hint="eastAsia"/>
                <w:bCs/>
                <w:iCs/>
                <w:color w:val="000000"/>
                <w:sz w:val="24"/>
              </w:rPr>
              <w:t>Gardner主要为飞机总装企业和大型零部件主体求制造加工各种航空器相关精密零部件、结构件等。此外，Gardner还提供一系列增值服务，主要包括零部件装配、配套物流和快速车间服务等。Gardner的最主要客户为欧洲空中客车公司，为空客一级供应商，主要负责空</w:t>
            </w:r>
            <w:proofErr w:type="gramStart"/>
            <w:r>
              <w:rPr>
                <w:rFonts w:ascii="宋体" w:hint="eastAsia"/>
                <w:bCs/>
                <w:iCs/>
                <w:color w:val="000000"/>
                <w:sz w:val="24"/>
              </w:rPr>
              <w:t>客主力</w:t>
            </w:r>
            <w:proofErr w:type="gramEnd"/>
            <w:r>
              <w:rPr>
                <w:rFonts w:ascii="宋体" w:hint="eastAsia"/>
                <w:bCs/>
                <w:iCs/>
                <w:color w:val="000000"/>
                <w:sz w:val="24"/>
              </w:rPr>
              <w:t>机型A</w:t>
            </w:r>
            <w:r>
              <w:rPr>
                <w:rFonts w:ascii="宋体"/>
                <w:bCs/>
                <w:iCs/>
                <w:color w:val="000000"/>
                <w:sz w:val="24"/>
              </w:rPr>
              <w:t>350/A320</w:t>
            </w:r>
            <w:r>
              <w:rPr>
                <w:rFonts w:ascii="宋体" w:hint="eastAsia"/>
                <w:bCs/>
                <w:iCs/>
                <w:color w:val="000000"/>
                <w:sz w:val="24"/>
              </w:rPr>
              <w:t>/A330</w:t>
            </w:r>
            <w:r>
              <w:rPr>
                <w:rFonts w:ascii="宋体"/>
                <w:bCs/>
                <w:iCs/>
                <w:color w:val="000000"/>
                <w:sz w:val="24"/>
              </w:rPr>
              <w:t>的机体及机翼部件的加工</w:t>
            </w:r>
            <w:r>
              <w:rPr>
                <w:rFonts w:ascii="宋体" w:hint="eastAsia"/>
                <w:bCs/>
                <w:iCs/>
                <w:color w:val="000000"/>
                <w:sz w:val="24"/>
              </w:rPr>
              <w:t>。Gardner自身业务增速与空</w:t>
            </w:r>
            <w:proofErr w:type="gramStart"/>
            <w:r>
              <w:rPr>
                <w:rFonts w:ascii="宋体" w:hint="eastAsia"/>
                <w:bCs/>
                <w:iCs/>
                <w:color w:val="000000"/>
                <w:sz w:val="24"/>
              </w:rPr>
              <w:t>客增长</w:t>
            </w:r>
            <w:proofErr w:type="gramEnd"/>
            <w:r>
              <w:rPr>
                <w:rFonts w:ascii="宋体" w:hint="eastAsia"/>
                <w:bCs/>
                <w:iCs/>
                <w:color w:val="000000"/>
                <w:sz w:val="24"/>
              </w:rPr>
              <w:t>同步，新增量要看空客</w:t>
            </w:r>
            <w:proofErr w:type="gramStart"/>
            <w:r>
              <w:rPr>
                <w:rFonts w:ascii="宋体" w:hint="eastAsia"/>
                <w:bCs/>
                <w:iCs/>
                <w:color w:val="000000"/>
                <w:sz w:val="24"/>
              </w:rPr>
              <w:t>天津总装厂转单量</w:t>
            </w:r>
            <w:proofErr w:type="gramEnd"/>
            <w:r>
              <w:rPr>
                <w:rFonts w:ascii="宋体" w:hint="eastAsia"/>
                <w:bCs/>
                <w:iCs/>
                <w:color w:val="000000"/>
                <w:sz w:val="24"/>
              </w:rPr>
              <w:t>，另外，Gardner</w:t>
            </w:r>
            <w:r>
              <w:rPr>
                <w:rFonts w:ascii="宋体"/>
                <w:bCs/>
                <w:iCs/>
                <w:color w:val="000000"/>
                <w:sz w:val="24"/>
              </w:rPr>
              <w:t>未来在</w:t>
            </w:r>
            <w:proofErr w:type="gramStart"/>
            <w:r>
              <w:rPr>
                <w:rFonts w:ascii="宋体"/>
                <w:bCs/>
                <w:iCs/>
                <w:color w:val="000000"/>
                <w:sz w:val="24"/>
              </w:rPr>
              <w:t>商飞市场</w:t>
            </w:r>
            <w:proofErr w:type="gramEnd"/>
            <w:r>
              <w:rPr>
                <w:rFonts w:ascii="宋体" w:hint="eastAsia"/>
                <w:bCs/>
                <w:iCs/>
                <w:color w:val="000000"/>
                <w:sz w:val="24"/>
              </w:rPr>
              <w:t>空间广阔，有望进入国产大飞机的供应商体系</w:t>
            </w:r>
            <w:r>
              <w:rPr>
                <w:rFonts w:ascii="宋体"/>
                <w:bCs/>
                <w:iCs/>
                <w:color w:val="000000"/>
                <w:sz w:val="24"/>
              </w:rPr>
              <w:t>。随着空客与中国合作深入</w:t>
            </w:r>
            <w:r>
              <w:rPr>
                <w:rFonts w:ascii="宋体" w:hint="eastAsia"/>
                <w:bCs/>
                <w:iCs/>
                <w:color w:val="000000"/>
                <w:sz w:val="24"/>
              </w:rPr>
              <w:t>，</w:t>
            </w:r>
            <w:r>
              <w:rPr>
                <w:rFonts w:ascii="宋体"/>
                <w:bCs/>
                <w:iCs/>
                <w:color w:val="000000"/>
                <w:sz w:val="24"/>
              </w:rPr>
              <w:t>空客天津总装厂将新建</w:t>
            </w:r>
            <w:r>
              <w:rPr>
                <w:rFonts w:ascii="宋体" w:hint="eastAsia"/>
                <w:bCs/>
                <w:iCs/>
                <w:color w:val="000000"/>
                <w:sz w:val="24"/>
              </w:rPr>
              <w:t>A</w:t>
            </w:r>
            <w:r>
              <w:rPr>
                <w:rFonts w:ascii="宋体"/>
                <w:bCs/>
                <w:iCs/>
                <w:color w:val="000000"/>
                <w:sz w:val="24"/>
              </w:rPr>
              <w:t>350总装线及交付中心</w:t>
            </w:r>
            <w:r>
              <w:rPr>
                <w:rFonts w:ascii="宋体" w:hint="eastAsia"/>
                <w:bCs/>
                <w:iCs/>
                <w:color w:val="000000"/>
                <w:sz w:val="24"/>
              </w:rPr>
              <w:t>，</w:t>
            </w:r>
            <w:r>
              <w:rPr>
                <w:rFonts w:ascii="宋体"/>
                <w:bCs/>
                <w:iCs/>
                <w:color w:val="000000"/>
                <w:sz w:val="24"/>
              </w:rPr>
              <w:t>公司设立了成都加德纳科技公司负责承接空</w:t>
            </w:r>
            <w:proofErr w:type="gramStart"/>
            <w:r>
              <w:rPr>
                <w:rFonts w:ascii="宋体"/>
                <w:bCs/>
                <w:iCs/>
                <w:color w:val="000000"/>
                <w:sz w:val="24"/>
              </w:rPr>
              <w:t>客国内</w:t>
            </w:r>
            <w:proofErr w:type="gramEnd"/>
            <w:r>
              <w:rPr>
                <w:rFonts w:ascii="宋体"/>
                <w:bCs/>
                <w:iCs/>
                <w:color w:val="000000"/>
                <w:sz w:val="24"/>
              </w:rPr>
              <w:t>配套任务</w:t>
            </w:r>
            <w:r>
              <w:rPr>
                <w:rFonts w:ascii="宋体" w:hint="eastAsia"/>
                <w:bCs/>
                <w:iCs/>
                <w:color w:val="000000"/>
                <w:sz w:val="24"/>
              </w:rPr>
              <w:t>。Gardner收入按照美元结算，利润按照英镑结算，人民币对英镑汇率变动会对合并报表有影响，不会体现在母公司报表上。Gardner做了部分</w:t>
            </w:r>
            <w:proofErr w:type="gramStart"/>
            <w:r>
              <w:rPr>
                <w:rFonts w:ascii="宋体" w:hint="eastAsia"/>
                <w:bCs/>
                <w:iCs/>
                <w:color w:val="000000"/>
                <w:sz w:val="24"/>
              </w:rPr>
              <w:t>保理业务</w:t>
            </w:r>
            <w:proofErr w:type="gramEnd"/>
            <w:r>
              <w:rPr>
                <w:rFonts w:ascii="宋体" w:hint="eastAsia"/>
                <w:bCs/>
                <w:iCs/>
                <w:color w:val="000000"/>
                <w:sz w:val="24"/>
              </w:rPr>
              <w:t>对冲汇率波动，上半年汇率损失大概有</w:t>
            </w:r>
            <w:r>
              <w:rPr>
                <w:rFonts w:ascii="宋体"/>
                <w:bCs/>
                <w:iCs/>
                <w:color w:val="000000"/>
                <w:sz w:val="24"/>
              </w:rPr>
              <w:t>800万元</w:t>
            </w:r>
            <w:r>
              <w:rPr>
                <w:rFonts w:ascii="宋体" w:hint="eastAsia"/>
                <w:bCs/>
                <w:iCs/>
                <w:color w:val="000000"/>
                <w:sz w:val="24"/>
              </w:rPr>
              <w:t>人民币。</w:t>
            </w:r>
            <w:r>
              <w:rPr>
                <w:rFonts w:ascii="宋体"/>
                <w:bCs/>
                <w:iCs/>
                <w:color w:val="000000"/>
                <w:sz w:val="24"/>
              </w:rPr>
              <w:t>如果</w:t>
            </w:r>
            <w:proofErr w:type="gramStart"/>
            <w:r>
              <w:rPr>
                <w:rFonts w:ascii="宋体"/>
                <w:bCs/>
                <w:iCs/>
                <w:color w:val="000000"/>
                <w:sz w:val="24"/>
              </w:rPr>
              <w:t>不做保</w:t>
            </w:r>
            <w:proofErr w:type="gramEnd"/>
            <w:r>
              <w:rPr>
                <w:rFonts w:ascii="宋体"/>
                <w:bCs/>
                <w:iCs/>
                <w:color w:val="000000"/>
                <w:sz w:val="24"/>
              </w:rPr>
              <w:t>理，人民币对</w:t>
            </w:r>
            <w:r>
              <w:rPr>
                <w:rFonts w:ascii="宋体" w:hint="eastAsia"/>
                <w:bCs/>
                <w:iCs/>
                <w:color w:val="000000"/>
                <w:sz w:val="24"/>
              </w:rPr>
              <w:t>欧元</w:t>
            </w:r>
            <w:r>
              <w:rPr>
                <w:rFonts w:ascii="宋体"/>
                <w:bCs/>
                <w:iCs/>
                <w:color w:val="000000"/>
                <w:sz w:val="24"/>
              </w:rPr>
              <w:t>贬值受益。</w:t>
            </w:r>
            <w:r>
              <w:rPr>
                <w:rFonts w:ascii="宋体" w:hint="eastAsia"/>
                <w:bCs/>
                <w:iCs/>
                <w:color w:val="000000"/>
                <w:sz w:val="24"/>
              </w:rPr>
              <w:t>上半年Gardner贡献净利润较低只有2</w:t>
            </w:r>
            <w:r>
              <w:rPr>
                <w:rFonts w:ascii="宋体"/>
                <w:bCs/>
                <w:iCs/>
                <w:color w:val="000000"/>
                <w:sz w:val="24"/>
              </w:rPr>
              <w:t>000</w:t>
            </w:r>
            <w:r>
              <w:rPr>
                <w:rFonts w:ascii="宋体" w:hint="eastAsia"/>
                <w:bCs/>
                <w:iCs/>
                <w:color w:val="000000"/>
                <w:sz w:val="24"/>
              </w:rPr>
              <w:t>多万，主要因为Gardner业务结算主要在下半年，空客业务一般</w:t>
            </w:r>
            <w:r>
              <w:rPr>
                <w:rFonts w:ascii="宋体"/>
                <w:bCs/>
                <w:iCs/>
                <w:color w:val="000000"/>
                <w:sz w:val="24"/>
              </w:rPr>
              <w:t>3、4季度是旺季。</w:t>
            </w:r>
            <w:r>
              <w:rPr>
                <w:rFonts w:ascii="宋体" w:hint="eastAsia"/>
                <w:bCs/>
                <w:iCs/>
                <w:color w:val="000000"/>
                <w:sz w:val="24"/>
              </w:rPr>
              <w:t>另外，上半年英国</w:t>
            </w:r>
            <w:r>
              <w:rPr>
                <w:rFonts w:ascii="宋体"/>
                <w:bCs/>
                <w:iCs/>
                <w:color w:val="000000"/>
                <w:sz w:val="24"/>
              </w:rPr>
              <w:t>裁员100多人（</w:t>
            </w:r>
            <w:r>
              <w:rPr>
                <w:rFonts w:ascii="宋体" w:hint="eastAsia"/>
                <w:bCs/>
                <w:iCs/>
                <w:color w:val="000000"/>
                <w:sz w:val="24"/>
              </w:rPr>
              <w:t>英国裁员</w:t>
            </w:r>
            <w:r>
              <w:rPr>
                <w:rFonts w:ascii="宋体"/>
                <w:bCs/>
                <w:iCs/>
                <w:color w:val="000000"/>
                <w:sz w:val="24"/>
              </w:rPr>
              <w:t>一次</w:t>
            </w:r>
            <w:r>
              <w:rPr>
                <w:rFonts w:ascii="宋体" w:hint="eastAsia"/>
                <w:bCs/>
                <w:iCs/>
                <w:color w:val="000000"/>
                <w:sz w:val="24"/>
              </w:rPr>
              <w:t>性</w:t>
            </w:r>
            <w:r>
              <w:rPr>
                <w:rFonts w:ascii="宋体"/>
                <w:bCs/>
                <w:iCs/>
                <w:color w:val="000000"/>
                <w:sz w:val="24"/>
              </w:rPr>
              <w:t>给6个月薪资）</w:t>
            </w:r>
            <w:r>
              <w:rPr>
                <w:rFonts w:ascii="宋体" w:hint="eastAsia"/>
                <w:bCs/>
                <w:iCs/>
                <w:color w:val="000000"/>
                <w:sz w:val="24"/>
              </w:rPr>
              <w:t>，</w:t>
            </w:r>
            <w:r>
              <w:rPr>
                <w:rFonts w:ascii="宋体"/>
                <w:bCs/>
                <w:iCs/>
                <w:color w:val="000000"/>
                <w:sz w:val="24"/>
              </w:rPr>
              <w:t>裁员费用</w:t>
            </w:r>
            <w:r>
              <w:rPr>
                <w:rFonts w:ascii="宋体" w:hint="eastAsia"/>
                <w:bCs/>
                <w:iCs/>
                <w:color w:val="000000"/>
                <w:sz w:val="24"/>
              </w:rPr>
              <w:t>影响了一部分利润。</w:t>
            </w:r>
          </w:p>
          <w:p w:rsidR="004F4D82" w:rsidRDefault="00164BC8">
            <w:pPr>
              <w:spacing w:line="360" w:lineRule="auto"/>
              <w:rPr>
                <w:rFonts w:ascii="宋体"/>
                <w:b/>
                <w:bCs/>
                <w:iCs/>
                <w:color w:val="000000"/>
                <w:sz w:val="24"/>
              </w:rPr>
            </w:pPr>
            <w:r>
              <w:rPr>
                <w:rFonts w:ascii="宋体" w:hint="eastAsia"/>
                <w:b/>
                <w:bCs/>
                <w:iCs/>
                <w:color w:val="000000"/>
                <w:sz w:val="24"/>
              </w:rPr>
              <w:t>4、成都航宇的航空高空涡轮增压叶片产品配套进展情况？国内的竞争对手？有没有开展和成飞、沈飞、中直、西飞、航发的配套？</w:t>
            </w:r>
          </w:p>
          <w:p w:rsidR="004F4D82" w:rsidRDefault="00164BC8">
            <w:pPr>
              <w:spacing w:line="360" w:lineRule="auto"/>
              <w:ind w:firstLine="420"/>
              <w:rPr>
                <w:rFonts w:ascii="宋体"/>
                <w:bCs/>
                <w:iCs/>
                <w:color w:val="000000"/>
                <w:sz w:val="24"/>
              </w:rPr>
            </w:pPr>
            <w:r>
              <w:rPr>
                <w:rFonts w:ascii="宋体" w:hint="eastAsia"/>
                <w:bCs/>
                <w:iCs/>
                <w:color w:val="000000"/>
                <w:sz w:val="24"/>
              </w:rPr>
              <w:t>全资子公司成都航宇主业是航空发动机的核心，高温单晶涡轮叶片，已签订3000多万元的销售合同，目前尚有意向订单在</w:t>
            </w:r>
            <w:r>
              <w:rPr>
                <w:rFonts w:ascii="宋体" w:hint="eastAsia"/>
                <w:bCs/>
                <w:iCs/>
                <w:color w:val="000000"/>
                <w:sz w:val="24"/>
              </w:rPr>
              <w:lastRenderedPageBreak/>
              <w:t>洽谈中，一经签订会及时公告。航空发动机高温涡轮叶片技术发展路线为等轴晶、定向晶、单晶。公司参与的多个型号的航空发动机单晶叶片，将在近期内完成定型上量。成都航宇还有靶机发动机的配套储备，如果成功配入，也可以迅速上量。</w:t>
            </w:r>
          </w:p>
          <w:p w:rsidR="004F4D82" w:rsidRDefault="00164BC8" w:rsidP="00811CEB">
            <w:pPr>
              <w:spacing w:line="360" w:lineRule="auto"/>
              <w:ind w:firstLineChars="200" w:firstLine="480"/>
              <w:rPr>
                <w:rFonts w:ascii="宋体"/>
                <w:bCs/>
                <w:iCs/>
                <w:color w:val="000000"/>
                <w:sz w:val="24"/>
              </w:rPr>
            </w:pPr>
            <w:r>
              <w:rPr>
                <w:rFonts w:ascii="宋体" w:hint="eastAsia"/>
                <w:bCs/>
                <w:iCs/>
                <w:color w:val="000000"/>
                <w:sz w:val="24"/>
              </w:rPr>
              <w:t>航宇公司拥有完整航空发动机单晶涡轮叶片研制生产能力，目前主力生产设备为康</w:t>
            </w:r>
            <w:proofErr w:type="gramStart"/>
            <w:r>
              <w:rPr>
                <w:rFonts w:ascii="宋体" w:hint="eastAsia"/>
                <w:bCs/>
                <w:iCs/>
                <w:color w:val="000000"/>
                <w:sz w:val="24"/>
              </w:rPr>
              <w:t>萨</w:t>
            </w:r>
            <w:proofErr w:type="gramEnd"/>
            <w:r>
              <w:rPr>
                <w:rFonts w:ascii="宋体" w:hint="eastAsia"/>
                <w:bCs/>
                <w:iCs/>
                <w:color w:val="000000"/>
                <w:sz w:val="24"/>
              </w:rPr>
              <w:t>克定制单晶炉2台，</w:t>
            </w:r>
            <w:proofErr w:type="gramStart"/>
            <w:r>
              <w:rPr>
                <w:rFonts w:ascii="宋体" w:hint="eastAsia"/>
                <w:bCs/>
                <w:iCs/>
                <w:color w:val="000000"/>
                <w:sz w:val="24"/>
              </w:rPr>
              <w:t>进口五轴数控</w:t>
            </w:r>
            <w:proofErr w:type="gramEnd"/>
            <w:r>
              <w:rPr>
                <w:rFonts w:ascii="宋体" w:hint="eastAsia"/>
                <w:bCs/>
                <w:iCs/>
                <w:color w:val="000000"/>
                <w:sz w:val="24"/>
              </w:rPr>
              <w:t>磨床1台，</w:t>
            </w:r>
            <w:proofErr w:type="gramStart"/>
            <w:r>
              <w:rPr>
                <w:rFonts w:ascii="宋体" w:hint="eastAsia"/>
                <w:bCs/>
                <w:iCs/>
                <w:color w:val="000000"/>
                <w:sz w:val="24"/>
              </w:rPr>
              <w:t>后续仍</w:t>
            </w:r>
            <w:proofErr w:type="gramEnd"/>
            <w:r>
              <w:rPr>
                <w:rFonts w:ascii="宋体" w:hint="eastAsia"/>
                <w:bCs/>
                <w:iCs/>
                <w:color w:val="000000"/>
                <w:sz w:val="24"/>
              </w:rPr>
              <w:t>有单晶</w:t>
            </w:r>
            <w:proofErr w:type="gramStart"/>
            <w:r>
              <w:rPr>
                <w:rFonts w:ascii="宋体" w:hint="eastAsia"/>
                <w:bCs/>
                <w:iCs/>
                <w:color w:val="000000"/>
                <w:sz w:val="24"/>
              </w:rPr>
              <w:t>炉以及</w:t>
            </w:r>
            <w:proofErr w:type="gramEnd"/>
            <w:r>
              <w:rPr>
                <w:rFonts w:ascii="宋体" w:hint="eastAsia"/>
                <w:bCs/>
                <w:iCs/>
                <w:color w:val="000000"/>
                <w:sz w:val="24"/>
              </w:rPr>
              <w:t>加工设备进口计划。公司目前叶片产能5.5万片每年，可满足近千台发动机高温涡轮叶片需求。成都航宇目前产品覆盖国内各大航发主机厂以及在</w:t>
            </w:r>
            <w:proofErr w:type="gramStart"/>
            <w:r>
              <w:rPr>
                <w:rFonts w:ascii="宋体" w:hint="eastAsia"/>
                <w:bCs/>
                <w:iCs/>
                <w:color w:val="000000"/>
                <w:sz w:val="24"/>
              </w:rPr>
              <w:t>研</w:t>
            </w:r>
            <w:proofErr w:type="gramEnd"/>
            <w:r>
              <w:rPr>
                <w:rFonts w:ascii="宋体" w:hint="eastAsia"/>
                <w:bCs/>
                <w:iCs/>
                <w:color w:val="000000"/>
                <w:sz w:val="24"/>
              </w:rPr>
              <w:t>和预研型号，用于某型中推发动机的主力产品预计2020年可实现批量交付，收入确认后将大概率实现盈利。</w:t>
            </w:r>
          </w:p>
          <w:p w:rsidR="004F4D82" w:rsidRDefault="00164BC8">
            <w:pPr>
              <w:spacing w:line="360" w:lineRule="auto"/>
              <w:rPr>
                <w:rFonts w:ascii="宋体"/>
                <w:b/>
                <w:bCs/>
                <w:iCs/>
                <w:color w:val="000000"/>
                <w:sz w:val="24"/>
              </w:rPr>
            </w:pPr>
            <w:r>
              <w:rPr>
                <w:rFonts w:ascii="宋体" w:hint="eastAsia"/>
                <w:b/>
                <w:bCs/>
                <w:iCs/>
                <w:color w:val="000000"/>
                <w:sz w:val="24"/>
              </w:rPr>
              <w:t>5、Gardner成都工厂的收入规模和预期利润释放。</w:t>
            </w:r>
          </w:p>
          <w:p w:rsidR="004F4D82" w:rsidRDefault="00164BC8">
            <w:pPr>
              <w:spacing w:line="360" w:lineRule="auto"/>
              <w:ind w:firstLine="420"/>
              <w:rPr>
                <w:rFonts w:ascii="宋体"/>
                <w:bCs/>
                <w:iCs/>
                <w:color w:val="000000"/>
                <w:sz w:val="24"/>
              </w:rPr>
            </w:pPr>
            <w:proofErr w:type="spellStart"/>
            <w:r>
              <w:rPr>
                <w:rFonts w:ascii="宋体"/>
                <w:bCs/>
                <w:iCs/>
                <w:color w:val="000000"/>
                <w:sz w:val="24"/>
              </w:rPr>
              <w:t>Cardner</w:t>
            </w:r>
            <w:proofErr w:type="spellEnd"/>
            <w:r>
              <w:rPr>
                <w:rFonts w:ascii="宋体" w:hint="eastAsia"/>
                <w:bCs/>
                <w:iCs/>
                <w:color w:val="000000"/>
                <w:sz w:val="24"/>
              </w:rPr>
              <w:t>成都工厂已经全部建成，进入设备购置调试阶段，已经装备了五轴、四轴、三轴数控加工中心各一台。由于国内进口航空加工所需设备比原计划稍慢，预计成都工厂设备购置速度不及年初计划。短期内，公司会利用现在已经到位的设备，进行部分空客零部件的加工，形成部分收入。预计明年大部分设备到位后，公司为空</w:t>
            </w:r>
            <w:proofErr w:type="gramStart"/>
            <w:r>
              <w:rPr>
                <w:rFonts w:ascii="宋体" w:hint="eastAsia"/>
                <w:bCs/>
                <w:iCs/>
                <w:color w:val="000000"/>
                <w:sz w:val="24"/>
              </w:rPr>
              <w:t>客配套</w:t>
            </w:r>
            <w:proofErr w:type="gramEnd"/>
            <w:r>
              <w:rPr>
                <w:rFonts w:ascii="宋体" w:hint="eastAsia"/>
                <w:bCs/>
                <w:iCs/>
                <w:color w:val="000000"/>
                <w:sz w:val="24"/>
              </w:rPr>
              <w:t>加工的产品数量和型号会大幅增加。</w:t>
            </w:r>
            <w:r>
              <w:rPr>
                <w:rFonts w:ascii="宋体"/>
                <w:bCs/>
                <w:iCs/>
                <w:color w:val="000000"/>
                <w:sz w:val="24"/>
              </w:rPr>
              <w:t>届时将有望承接绝大部分空</w:t>
            </w:r>
            <w:proofErr w:type="gramStart"/>
            <w:r>
              <w:rPr>
                <w:rFonts w:ascii="宋体"/>
                <w:bCs/>
                <w:iCs/>
                <w:color w:val="000000"/>
                <w:sz w:val="24"/>
              </w:rPr>
              <w:t>客国内</w:t>
            </w:r>
            <w:proofErr w:type="gramEnd"/>
            <w:r>
              <w:rPr>
                <w:rFonts w:ascii="宋体"/>
                <w:bCs/>
                <w:iCs/>
                <w:color w:val="000000"/>
                <w:sz w:val="24"/>
              </w:rPr>
              <w:t>配套订单</w:t>
            </w:r>
            <w:r>
              <w:rPr>
                <w:rFonts w:ascii="宋体" w:hint="eastAsia"/>
                <w:bCs/>
                <w:iCs/>
                <w:color w:val="000000"/>
                <w:sz w:val="24"/>
              </w:rPr>
              <w:t>，</w:t>
            </w:r>
            <w:r>
              <w:rPr>
                <w:rFonts w:ascii="宋体"/>
                <w:bCs/>
                <w:iCs/>
                <w:color w:val="000000"/>
                <w:sz w:val="24"/>
              </w:rPr>
              <w:t>为母公司业绩增长贡献新增量</w:t>
            </w:r>
            <w:r>
              <w:rPr>
                <w:rFonts w:ascii="宋体" w:hint="eastAsia"/>
                <w:bCs/>
                <w:iCs/>
                <w:color w:val="000000"/>
                <w:sz w:val="24"/>
              </w:rPr>
              <w:t>。</w:t>
            </w:r>
          </w:p>
          <w:p w:rsidR="004F4D82" w:rsidRDefault="00164BC8">
            <w:pPr>
              <w:spacing w:line="360" w:lineRule="auto"/>
              <w:rPr>
                <w:rFonts w:ascii="宋体"/>
                <w:b/>
                <w:bCs/>
                <w:iCs/>
                <w:color w:val="000000"/>
                <w:sz w:val="24"/>
              </w:rPr>
            </w:pPr>
            <w:r>
              <w:rPr>
                <w:rFonts w:ascii="宋体" w:hint="eastAsia"/>
                <w:b/>
                <w:bCs/>
                <w:iCs/>
                <w:color w:val="000000"/>
                <w:sz w:val="24"/>
              </w:rPr>
              <w:t>6、</w:t>
            </w:r>
            <w:proofErr w:type="gramStart"/>
            <w:r>
              <w:rPr>
                <w:rFonts w:ascii="宋体" w:hint="eastAsia"/>
                <w:b/>
                <w:bCs/>
                <w:iCs/>
                <w:color w:val="000000"/>
                <w:sz w:val="24"/>
              </w:rPr>
              <w:t>中科航发</w:t>
            </w:r>
            <w:proofErr w:type="gramEnd"/>
            <w:r>
              <w:rPr>
                <w:rFonts w:ascii="宋体" w:hint="eastAsia"/>
                <w:b/>
                <w:bCs/>
                <w:iCs/>
                <w:color w:val="000000"/>
                <w:sz w:val="24"/>
              </w:rPr>
              <w:t>、朗星无人机的未来发展？</w:t>
            </w:r>
          </w:p>
          <w:p w:rsidR="004F4D82" w:rsidRDefault="00164BC8">
            <w:pPr>
              <w:spacing w:line="360" w:lineRule="auto"/>
              <w:ind w:firstLine="420"/>
              <w:rPr>
                <w:rFonts w:ascii="宋体"/>
                <w:bCs/>
                <w:iCs/>
                <w:color w:val="000000"/>
                <w:sz w:val="24"/>
              </w:rPr>
            </w:pPr>
            <w:r>
              <w:rPr>
                <w:rFonts w:ascii="宋体" w:hint="eastAsia"/>
                <w:bCs/>
                <w:iCs/>
                <w:color w:val="000000"/>
                <w:sz w:val="24"/>
              </w:rPr>
              <w:t>公司参股子公司成都中科航空发动机有限公司，对公司整体业绩影响较小。</w:t>
            </w:r>
            <w:proofErr w:type="gramStart"/>
            <w:r>
              <w:rPr>
                <w:rFonts w:ascii="宋体" w:hint="eastAsia"/>
                <w:bCs/>
                <w:iCs/>
                <w:color w:val="000000"/>
                <w:sz w:val="24"/>
              </w:rPr>
              <w:t>中科航发</w:t>
            </w:r>
            <w:proofErr w:type="gramEnd"/>
            <w:r>
              <w:rPr>
                <w:rFonts w:ascii="宋体" w:hint="eastAsia"/>
                <w:bCs/>
                <w:iCs/>
                <w:color w:val="000000"/>
                <w:sz w:val="24"/>
              </w:rPr>
              <w:t>为中科院工程热物理研究所控股公司，公司在其中持股</w:t>
            </w:r>
            <w:r>
              <w:rPr>
                <w:rFonts w:ascii="宋体"/>
                <w:bCs/>
                <w:iCs/>
                <w:color w:val="000000"/>
                <w:sz w:val="24"/>
              </w:rPr>
              <w:t>21.45%。目前</w:t>
            </w:r>
            <w:proofErr w:type="gramStart"/>
            <w:r>
              <w:rPr>
                <w:rFonts w:ascii="宋体"/>
                <w:bCs/>
                <w:iCs/>
                <w:color w:val="000000"/>
                <w:sz w:val="24"/>
              </w:rPr>
              <w:t>中科航发</w:t>
            </w:r>
            <w:proofErr w:type="gramEnd"/>
            <w:r>
              <w:rPr>
                <w:rFonts w:ascii="宋体"/>
                <w:bCs/>
                <w:iCs/>
                <w:color w:val="000000"/>
                <w:sz w:val="24"/>
              </w:rPr>
              <w:t>在</w:t>
            </w:r>
            <w:proofErr w:type="gramStart"/>
            <w:r>
              <w:rPr>
                <w:rFonts w:ascii="宋体"/>
                <w:bCs/>
                <w:iCs/>
                <w:color w:val="000000"/>
                <w:sz w:val="24"/>
              </w:rPr>
              <w:t>研</w:t>
            </w:r>
            <w:proofErr w:type="gramEnd"/>
            <w:r>
              <w:rPr>
                <w:rFonts w:ascii="宋体"/>
                <w:bCs/>
                <w:iCs/>
                <w:color w:val="000000"/>
                <w:sz w:val="24"/>
              </w:rPr>
              <w:t>中小型涡扇发动机成功填补国内中小型涡扇发动机研制空白。</w:t>
            </w:r>
            <w:proofErr w:type="gramStart"/>
            <w:r>
              <w:rPr>
                <w:rFonts w:ascii="宋体"/>
                <w:bCs/>
                <w:iCs/>
                <w:color w:val="000000"/>
                <w:sz w:val="24"/>
              </w:rPr>
              <w:t>中科航发</w:t>
            </w:r>
            <w:proofErr w:type="gramEnd"/>
            <w:r>
              <w:rPr>
                <w:rFonts w:ascii="宋体"/>
                <w:bCs/>
                <w:iCs/>
                <w:color w:val="000000"/>
                <w:sz w:val="24"/>
              </w:rPr>
              <w:t>在航空发动机研制的基础上建设完成了完整的中小型航空发动机测试体系，具有包括台架试验和低、中、高空试验能力，目前750KG级发动机地面试验已完成，下一阶段装机试飞正在有序开展。</w:t>
            </w:r>
          </w:p>
          <w:p w:rsidR="004F4D82" w:rsidRDefault="00164BC8">
            <w:pPr>
              <w:spacing w:line="360" w:lineRule="auto"/>
              <w:ind w:firstLine="420"/>
              <w:rPr>
                <w:rFonts w:ascii="宋体"/>
                <w:bCs/>
                <w:iCs/>
                <w:color w:val="000000"/>
                <w:sz w:val="24"/>
              </w:rPr>
            </w:pPr>
            <w:r>
              <w:rPr>
                <w:rFonts w:ascii="宋体" w:hint="eastAsia"/>
                <w:bCs/>
                <w:iCs/>
                <w:color w:val="000000"/>
                <w:sz w:val="24"/>
              </w:rPr>
              <w:t>公司参股子公司朗星无人机技术有限公司负责货运无人机</w:t>
            </w:r>
            <w:r>
              <w:rPr>
                <w:rFonts w:ascii="宋体" w:hint="eastAsia"/>
                <w:bCs/>
                <w:iCs/>
                <w:color w:val="000000"/>
                <w:sz w:val="24"/>
              </w:rPr>
              <w:lastRenderedPageBreak/>
              <w:t>板块，未来发展潜力较大。朗星公司由公司与“顺丰集团”联合战略投资者共同设立，总部位于四川成都。主力产品</w:t>
            </w:r>
            <w:r>
              <w:rPr>
                <w:rFonts w:ascii="宋体"/>
                <w:bCs/>
                <w:iCs/>
                <w:color w:val="000000"/>
                <w:sz w:val="24"/>
              </w:rPr>
              <w:t>AT200货运无人机载重1.5</w:t>
            </w:r>
            <w:r>
              <w:rPr>
                <w:rFonts w:ascii="宋体" w:hint="eastAsia"/>
                <w:bCs/>
                <w:iCs/>
                <w:color w:val="000000"/>
                <w:sz w:val="24"/>
              </w:rPr>
              <w:t>吨</w:t>
            </w:r>
            <w:r>
              <w:rPr>
                <w:rFonts w:ascii="宋体"/>
                <w:bCs/>
                <w:iCs/>
                <w:color w:val="000000"/>
                <w:sz w:val="24"/>
              </w:rPr>
              <w:t>，该机具有良好的短距、简易起降能力和大载荷、大航程、全天候飞行等诸多优异性能，被中国民航局列为大型无人机适航审定试点机型。</w:t>
            </w:r>
            <w:r>
              <w:rPr>
                <w:rFonts w:ascii="宋体" w:hint="eastAsia"/>
                <w:bCs/>
                <w:iCs/>
                <w:color w:val="000000"/>
                <w:sz w:val="24"/>
              </w:rPr>
              <w:t>同类无人机型，还有</w:t>
            </w:r>
            <w:proofErr w:type="gramStart"/>
            <w:r>
              <w:rPr>
                <w:rFonts w:ascii="宋体" w:hint="eastAsia"/>
                <w:bCs/>
                <w:iCs/>
                <w:color w:val="000000"/>
                <w:sz w:val="24"/>
              </w:rPr>
              <w:t>长鹰信质</w:t>
            </w:r>
            <w:proofErr w:type="gramEnd"/>
            <w:r>
              <w:rPr>
                <w:rFonts w:ascii="宋体" w:hint="eastAsia"/>
                <w:bCs/>
                <w:iCs/>
                <w:color w:val="000000"/>
                <w:sz w:val="24"/>
              </w:rPr>
              <w:t>和北航合作的载重2</w:t>
            </w:r>
            <w:r>
              <w:rPr>
                <w:rFonts w:ascii="宋体"/>
                <w:bCs/>
                <w:iCs/>
                <w:color w:val="000000"/>
                <w:sz w:val="24"/>
              </w:rPr>
              <w:t>.5</w:t>
            </w:r>
            <w:r>
              <w:rPr>
                <w:rFonts w:ascii="宋体" w:hint="eastAsia"/>
                <w:bCs/>
                <w:iCs/>
                <w:color w:val="000000"/>
                <w:sz w:val="24"/>
              </w:rPr>
              <w:t>吨机型，</w:t>
            </w:r>
            <w:proofErr w:type="gramStart"/>
            <w:r>
              <w:rPr>
                <w:rFonts w:ascii="宋体" w:hint="eastAsia"/>
                <w:bCs/>
                <w:iCs/>
                <w:color w:val="000000"/>
                <w:sz w:val="24"/>
              </w:rPr>
              <w:t>长鹰信质正在</w:t>
            </w:r>
            <w:proofErr w:type="gramEnd"/>
            <w:r>
              <w:rPr>
                <w:rFonts w:ascii="宋体" w:hint="eastAsia"/>
                <w:bCs/>
                <w:iCs/>
                <w:color w:val="000000"/>
                <w:sz w:val="24"/>
              </w:rPr>
              <w:t>开拓印尼市场。如果</w:t>
            </w:r>
            <w:proofErr w:type="gramStart"/>
            <w:r>
              <w:rPr>
                <w:rFonts w:ascii="宋体" w:hint="eastAsia"/>
                <w:bCs/>
                <w:iCs/>
                <w:color w:val="000000"/>
                <w:sz w:val="24"/>
              </w:rPr>
              <w:t>长鹰信质能够</w:t>
            </w:r>
            <w:proofErr w:type="gramEnd"/>
            <w:r>
              <w:rPr>
                <w:rFonts w:ascii="宋体" w:hint="eastAsia"/>
                <w:bCs/>
                <w:iCs/>
                <w:color w:val="000000"/>
                <w:sz w:val="24"/>
              </w:rPr>
              <w:t>成功，朗星也可以复制其商业模式拓展海外市场。</w:t>
            </w:r>
            <w:r>
              <w:rPr>
                <w:rFonts w:ascii="宋体"/>
                <w:bCs/>
                <w:iCs/>
                <w:color w:val="000000"/>
                <w:sz w:val="24"/>
              </w:rPr>
              <w:t>目前，AT200已经完成包括高空长航时、高海拔转场、大商载飞行在内的多科目测试飞行，CAAC适航取证工作完成后将投入顺丰航空无人机板块进行商业运行。</w:t>
            </w:r>
          </w:p>
          <w:p w:rsidR="004F4D82" w:rsidRDefault="00164BC8">
            <w:pPr>
              <w:spacing w:line="360" w:lineRule="auto"/>
              <w:ind w:firstLineChars="200" w:firstLine="480"/>
              <w:rPr>
                <w:rFonts w:ascii="宋体"/>
                <w:bCs/>
                <w:iCs/>
                <w:color w:val="000000"/>
                <w:sz w:val="24"/>
              </w:rPr>
            </w:pPr>
            <w:r>
              <w:rPr>
                <w:rFonts w:ascii="宋体" w:hint="eastAsia"/>
                <w:bCs/>
                <w:iCs/>
                <w:color w:val="000000"/>
                <w:sz w:val="24"/>
              </w:rPr>
              <w:t>投资者会后随陪同人员参观了成都航宇生产车间、成都加德纳工厂。</w:t>
            </w:r>
          </w:p>
          <w:p w:rsidR="004F4D82" w:rsidRDefault="004F4D82">
            <w:pPr>
              <w:spacing w:line="360" w:lineRule="auto"/>
              <w:rPr>
                <w:rFonts w:ascii="宋体"/>
                <w:b/>
                <w:bCs/>
                <w:iCs/>
                <w:color w:val="000000"/>
                <w:sz w:val="24"/>
              </w:rPr>
            </w:pPr>
          </w:p>
          <w:p w:rsidR="004F4D82" w:rsidRDefault="00164BC8">
            <w:pPr>
              <w:spacing w:line="360" w:lineRule="auto"/>
              <w:ind w:firstLineChars="196" w:firstLine="472"/>
              <w:rPr>
                <w:rFonts w:ascii="宋体"/>
                <w:b/>
                <w:bCs/>
                <w:iCs/>
                <w:color w:val="000000"/>
                <w:sz w:val="24"/>
              </w:rPr>
            </w:pPr>
            <w:r>
              <w:rPr>
                <w:rFonts w:ascii="宋体" w:hint="eastAsia"/>
                <w:b/>
                <w:bCs/>
                <w:iCs/>
                <w:color w:val="000000"/>
                <w:sz w:val="24"/>
              </w:rPr>
              <w:t>会议过程中，公司接待人员严格按照有关制度规定，没有出现未公开重大信息泄露等情况。</w:t>
            </w:r>
          </w:p>
          <w:p w:rsidR="004F4D82" w:rsidRDefault="004F4D82">
            <w:pPr>
              <w:spacing w:line="360" w:lineRule="auto"/>
              <w:rPr>
                <w:rFonts w:ascii="宋体"/>
                <w:bCs/>
                <w:iCs/>
                <w:color w:val="000000"/>
                <w:sz w:val="24"/>
              </w:rPr>
            </w:pPr>
          </w:p>
        </w:tc>
      </w:tr>
      <w:tr w:rsidR="004F4D82">
        <w:trPr>
          <w:jc w:val="center"/>
        </w:trPr>
        <w:tc>
          <w:tcPr>
            <w:tcW w:w="1668" w:type="dxa"/>
            <w:vAlign w:val="center"/>
          </w:tcPr>
          <w:p w:rsidR="004F4D82" w:rsidRDefault="00164BC8">
            <w:pPr>
              <w:spacing w:line="480" w:lineRule="atLeast"/>
              <w:rPr>
                <w:rFonts w:ascii="宋体"/>
                <w:b/>
                <w:bCs/>
                <w:iCs/>
                <w:color w:val="000000"/>
                <w:sz w:val="24"/>
              </w:rPr>
            </w:pPr>
            <w:r>
              <w:rPr>
                <w:rFonts w:ascii="宋体" w:hAnsi="宋体" w:hint="eastAsia"/>
                <w:b/>
                <w:bCs/>
                <w:iCs/>
                <w:color w:val="000000"/>
                <w:sz w:val="24"/>
              </w:rPr>
              <w:lastRenderedPageBreak/>
              <w:t>附件清单（如有）</w:t>
            </w:r>
          </w:p>
        </w:tc>
        <w:tc>
          <w:tcPr>
            <w:tcW w:w="6854" w:type="dxa"/>
          </w:tcPr>
          <w:p w:rsidR="004F4D82" w:rsidRDefault="00164BC8">
            <w:pPr>
              <w:spacing w:line="480" w:lineRule="atLeast"/>
              <w:rPr>
                <w:rFonts w:ascii="宋体"/>
                <w:bCs/>
                <w:iCs/>
                <w:color w:val="000000"/>
                <w:sz w:val="24"/>
              </w:rPr>
            </w:pPr>
            <w:r>
              <w:rPr>
                <w:rFonts w:ascii="宋体" w:hint="eastAsia"/>
                <w:bCs/>
                <w:iCs/>
                <w:color w:val="000000"/>
                <w:sz w:val="24"/>
              </w:rPr>
              <w:t>无</w:t>
            </w:r>
          </w:p>
        </w:tc>
      </w:tr>
      <w:tr w:rsidR="004F4D82" w:rsidTr="002D5D4F">
        <w:trPr>
          <w:jc w:val="center"/>
        </w:trPr>
        <w:tc>
          <w:tcPr>
            <w:tcW w:w="1668" w:type="dxa"/>
            <w:vAlign w:val="center"/>
          </w:tcPr>
          <w:p w:rsidR="004F4D82" w:rsidRDefault="00164BC8">
            <w:pPr>
              <w:spacing w:line="480" w:lineRule="atLeast"/>
              <w:rPr>
                <w:rFonts w:ascii="宋体"/>
                <w:b/>
                <w:bCs/>
                <w:iCs/>
                <w:color w:val="000000"/>
                <w:sz w:val="24"/>
              </w:rPr>
            </w:pPr>
            <w:r>
              <w:rPr>
                <w:rFonts w:ascii="宋体" w:hAnsi="宋体" w:hint="eastAsia"/>
                <w:b/>
                <w:bCs/>
                <w:iCs/>
                <w:color w:val="000000"/>
                <w:sz w:val="24"/>
              </w:rPr>
              <w:t>日期</w:t>
            </w:r>
          </w:p>
        </w:tc>
        <w:tc>
          <w:tcPr>
            <w:tcW w:w="6854" w:type="dxa"/>
            <w:vAlign w:val="center"/>
          </w:tcPr>
          <w:p w:rsidR="004F4D82" w:rsidRPr="002D5D4F" w:rsidRDefault="00164BC8" w:rsidP="002D5D4F">
            <w:pPr>
              <w:spacing w:line="480" w:lineRule="atLeast"/>
              <w:rPr>
                <w:rFonts w:ascii="宋体"/>
                <w:bCs/>
                <w:iCs/>
                <w:sz w:val="24"/>
              </w:rPr>
            </w:pPr>
            <w:r w:rsidRPr="002D5D4F">
              <w:rPr>
                <w:rFonts w:ascii="宋体"/>
                <w:bCs/>
                <w:iCs/>
                <w:sz w:val="24"/>
              </w:rPr>
              <w:t>201</w:t>
            </w:r>
            <w:r w:rsidRPr="002D5D4F">
              <w:rPr>
                <w:rFonts w:ascii="宋体" w:hint="eastAsia"/>
                <w:bCs/>
                <w:iCs/>
                <w:sz w:val="24"/>
              </w:rPr>
              <w:t>9年12月18</w:t>
            </w:r>
            <w:bookmarkStart w:id="0" w:name="_GoBack"/>
            <w:bookmarkEnd w:id="0"/>
            <w:r w:rsidRPr="002D5D4F">
              <w:rPr>
                <w:rFonts w:ascii="宋体" w:hint="eastAsia"/>
                <w:bCs/>
                <w:iCs/>
                <w:sz w:val="24"/>
              </w:rPr>
              <w:t>日</w:t>
            </w:r>
          </w:p>
        </w:tc>
      </w:tr>
    </w:tbl>
    <w:p w:rsidR="004F4D82" w:rsidRDefault="004F4D82"/>
    <w:p w:rsidR="004F4D82" w:rsidRDefault="004F4D82">
      <w:pPr>
        <w:spacing w:line="360" w:lineRule="auto"/>
        <w:rPr>
          <w:rFonts w:ascii="宋体"/>
          <w:bCs/>
          <w:iCs/>
          <w:color w:val="000000"/>
          <w:sz w:val="24"/>
        </w:rPr>
      </w:pPr>
    </w:p>
    <w:p w:rsidR="004F4D82" w:rsidRDefault="004F4D82"/>
    <w:sectPr w:rsidR="004F4D82" w:rsidSect="004F4D8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27" w:rsidRDefault="00791A27" w:rsidP="004F4D82">
      <w:r>
        <w:separator/>
      </w:r>
    </w:p>
  </w:endnote>
  <w:endnote w:type="continuationSeparator" w:id="0">
    <w:p w:rsidR="00791A27" w:rsidRDefault="00791A27" w:rsidP="004F4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27" w:rsidRDefault="00791A27" w:rsidP="004F4D82">
      <w:r>
        <w:separator/>
      </w:r>
    </w:p>
  </w:footnote>
  <w:footnote w:type="continuationSeparator" w:id="0">
    <w:p w:rsidR="00791A27" w:rsidRDefault="00791A27" w:rsidP="004F4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82" w:rsidRDefault="004F4D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D82"/>
    <w:rsid w:val="000F3388"/>
    <w:rsid w:val="00164BC8"/>
    <w:rsid w:val="002D5D4F"/>
    <w:rsid w:val="004F4D82"/>
    <w:rsid w:val="006A363D"/>
    <w:rsid w:val="00791A27"/>
    <w:rsid w:val="00811CEB"/>
    <w:rsid w:val="00833002"/>
    <w:rsid w:val="008E07A0"/>
    <w:rsid w:val="00906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F4D82"/>
    <w:pPr>
      <w:tabs>
        <w:tab w:val="center" w:pos="4153"/>
        <w:tab w:val="right" w:pos="8306"/>
      </w:tabs>
      <w:snapToGrid w:val="0"/>
      <w:jc w:val="left"/>
    </w:pPr>
    <w:rPr>
      <w:sz w:val="18"/>
      <w:szCs w:val="18"/>
    </w:rPr>
  </w:style>
  <w:style w:type="paragraph" w:styleId="a4">
    <w:name w:val="header"/>
    <w:basedOn w:val="a"/>
    <w:link w:val="Char0"/>
    <w:uiPriority w:val="99"/>
    <w:semiHidden/>
    <w:qFormat/>
    <w:rsid w:val="004F4D82"/>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0">
    <w:name w:val="页眉 Char"/>
    <w:link w:val="a4"/>
    <w:uiPriority w:val="99"/>
    <w:semiHidden/>
    <w:qFormat/>
    <w:locked/>
    <w:rsid w:val="004F4D82"/>
    <w:rPr>
      <w:rFonts w:cs="Times New Roman"/>
      <w:sz w:val="18"/>
      <w:szCs w:val="18"/>
    </w:rPr>
  </w:style>
  <w:style w:type="character" w:customStyle="1" w:styleId="Char1">
    <w:name w:val="页眉 Char1"/>
    <w:basedOn w:val="a0"/>
    <w:uiPriority w:val="99"/>
    <w:semiHidden/>
    <w:qFormat/>
    <w:rsid w:val="004F4D82"/>
    <w:rPr>
      <w:rFonts w:ascii="Times New Roman" w:eastAsia="宋体" w:hAnsi="Times New Roman" w:cs="Times New Roman"/>
      <w:sz w:val="18"/>
      <w:szCs w:val="18"/>
    </w:rPr>
  </w:style>
  <w:style w:type="character" w:customStyle="1" w:styleId="Char">
    <w:name w:val="页脚 Char"/>
    <w:basedOn w:val="a0"/>
    <w:link w:val="a3"/>
    <w:uiPriority w:val="99"/>
    <w:qFormat/>
    <w:rsid w:val="004F4D82"/>
    <w:rPr>
      <w:rFonts w:ascii="Times New Roman" w:eastAsia="宋体" w:hAnsi="Times New Roman" w:cs="Times New Roman"/>
      <w:sz w:val="18"/>
      <w:szCs w:val="18"/>
    </w:rPr>
  </w:style>
  <w:style w:type="paragraph" w:customStyle="1" w:styleId="1">
    <w:name w:val="列出段落1"/>
    <w:basedOn w:val="a"/>
    <w:uiPriority w:val="34"/>
    <w:qFormat/>
    <w:rsid w:val="004F4D8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387</Words>
  <Characters>2210</Characters>
  <Application>Microsoft Office Word</Application>
  <DocSecurity>0</DocSecurity>
  <Lines>18</Lines>
  <Paragraphs>5</Paragraphs>
  <ScaleCrop>false</ScaleCrop>
  <Company>Sky123.Org</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2019-12-18T14:54:00Z</dcterms:created>
  <dcterms:modified xsi:type="dcterms:W3CDTF">2019-12-18T09:37:00Z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2052-10.2.0</vt:lpwstr>
  </property>
</Properties>
</file>