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10" w:rsidRDefault="00A413E8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证券代码：</w:t>
      </w:r>
      <w:r>
        <w:rPr>
          <w:rFonts w:ascii="微软雅黑" w:eastAsia="微软雅黑" w:hAnsi="微软雅黑" w:hint="eastAsia"/>
          <w:szCs w:val="21"/>
        </w:rPr>
        <w:t>300066</w:t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 xml:space="preserve">  </w:t>
      </w:r>
      <w:r w:rsidR="00975250">
        <w:rPr>
          <w:rFonts w:ascii="微软雅黑" w:eastAsia="微软雅黑" w:hAnsi="微软雅黑"/>
          <w:szCs w:val="21"/>
        </w:rPr>
        <w:t xml:space="preserve">    </w:t>
      </w:r>
      <w:r>
        <w:rPr>
          <w:rFonts w:ascii="微软雅黑" w:eastAsia="微软雅黑" w:hAnsi="微软雅黑" w:hint="eastAsia"/>
          <w:szCs w:val="21"/>
        </w:rPr>
        <w:t>证券简称：三川智慧</w:t>
      </w:r>
    </w:p>
    <w:p w:rsidR="00EA3810" w:rsidRDefault="00A413E8">
      <w:pPr>
        <w:spacing w:beforeLines="50" w:before="156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三川智慧科技股份有限公司</w:t>
      </w:r>
    </w:p>
    <w:p w:rsidR="00EA3810" w:rsidRDefault="00A413E8">
      <w:pPr>
        <w:spacing w:after="100" w:afterAutospacing="1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投资者关系活动记录表</w:t>
      </w:r>
    </w:p>
    <w:tbl>
      <w:tblPr>
        <w:tblStyle w:val="a9"/>
        <w:tblpPr w:leftFromText="180" w:rightFromText="180" w:vertAnchor="text" w:tblpX="108" w:tblpY="1"/>
        <w:tblOverlap w:val="never"/>
        <w:tblW w:w="8364" w:type="dxa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EA3810">
        <w:trPr>
          <w:cantSplit/>
          <w:tblHeader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0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特定对象调研□分析师会议</w:t>
            </w:r>
          </w:p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□媒体采访□业绩说明会</w:t>
            </w:r>
          </w:p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□新闻发布会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路演活动</w:t>
            </w:r>
          </w:p>
          <w:p w:rsidR="00EA3810" w:rsidRDefault="00A413E8">
            <w:pPr>
              <w:pStyle w:val="1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sym w:font="Wingdings 2" w:char="0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现场参观</w:t>
            </w:r>
          </w:p>
          <w:p w:rsidR="00EA3810" w:rsidRDefault="00A413E8">
            <w:pPr>
              <w:pStyle w:val="1"/>
              <w:ind w:firstLineChars="100" w:firstLine="24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请文字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说明其他活动内容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EA3810">
        <w:trPr>
          <w:trHeight w:val="778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参与单位名称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新时代</w:t>
            </w:r>
            <w:r>
              <w:rPr>
                <w:rFonts w:hint="eastAsia"/>
                <w:sz w:val="24"/>
                <w:szCs w:val="24"/>
              </w:rPr>
              <w:t>证券：</w:t>
            </w:r>
            <w:r>
              <w:rPr>
                <w:rFonts w:hint="eastAsia"/>
                <w:sz w:val="24"/>
                <w:szCs w:val="24"/>
              </w:rPr>
              <w:t>郭泰</w:t>
            </w:r>
            <w:r>
              <w:rPr>
                <w:rFonts w:hint="eastAsia"/>
                <w:sz w:val="24"/>
                <w:szCs w:val="24"/>
              </w:rPr>
              <w:t>；</w:t>
            </w:r>
            <w:proofErr w:type="gramStart"/>
            <w:r>
              <w:rPr>
                <w:rFonts w:ascii="宋体" w:eastAsia="宋体" w:hAnsi="宋体" w:cs="宋体"/>
                <w:sz w:val="24"/>
                <w:szCs w:val="24"/>
              </w:rPr>
              <w:t>中信保诚</w:t>
            </w:r>
            <w:proofErr w:type="gramEnd"/>
            <w:r>
              <w:rPr>
                <w:rFonts w:ascii="宋体" w:eastAsia="宋体" w:hAnsi="宋体" w:cs="宋体"/>
                <w:sz w:val="24"/>
                <w:szCs w:val="24"/>
              </w:rPr>
              <w:t>人寿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：杜中明</w:t>
            </w:r>
          </w:p>
        </w:tc>
      </w:tr>
      <w:tr w:rsidR="00EA3810">
        <w:trPr>
          <w:trHeight w:val="632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0-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16:3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EA3810">
        <w:trPr>
          <w:trHeight w:val="647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三川智慧行政楼三楼会议室</w:t>
            </w:r>
          </w:p>
        </w:tc>
      </w:tr>
      <w:tr w:rsidR="00EA3810">
        <w:trPr>
          <w:trHeight w:val="734"/>
        </w:trPr>
        <w:tc>
          <w:tcPr>
            <w:tcW w:w="1872" w:type="dxa"/>
            <w:vAlign w:val="center"/>
          </w:tcPr>
          <w:p w:rsidR="00EA3810" w:rsidRDefault="00A413E8">
            <w:pPr>
              <w:pStyle w:val="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上市公司接待人员姓名</w:t>
            </w:r>
          </w:p>
        </w:tc>
        <w:tc>
          <w:tcPr>
            <w:tcW w:w="6492" w:type="dxa"/>
            <w:vAlign w:val="center"/>
          </w:tcPr>
          <w:p w:rsidR="00EA3810" w:rsidRDefault="00A413E8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董事长：李建林；董事会秘书：倪国强</w:t>
            </w:r>
          </w:p>
        </w:tc>
      </w:tr>
      <w:tr w:rsidR="00EA3810">
        <w:tc>
          <w:tcPr>
            <w:tcW w:w="1872" w:type="dxa"/>
            <w:vAlign w:val="center"/>
          </w:tcPr>
          <w:p w:rsidR="00EA3810" w:rsidRDefault="00A413E8">
            <w:pPr>
              <w:pStyle w:val="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492" w:type="dxa"/>
            <w:vAlign w:val="center"/>
          </w:tcPr>
          <w:p w:rsidR="00EA3810" w:rsidRDefault="00EA3810">
            <w:pPr>
              <w:pStyle w:val="1"/>
              <w:ind w:firstLineChars="200" w:firstLine="482"/>
              <w:rPr>
                <w:b/>
                <w:sz w:val="24"/>
                <w:szCs w:val="24"/>
                <w:lang w:val="en-US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公司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2019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年的</w:t>
            </w:r>
            <w:r>
              <w:rPr>
                <w:rFonts w:hint="eastAsia"/>
                <w:b/>
                <w:sz w:val="24"/>
                <w:szCs w:val="24"/>
              </w:rPr>
              <w:t>亮点有哪些</w:t>
            </w:r>
          </w:p>
          <w:p w:rsidR="00EA3810" w:rsidRDefault="00A413E8">
            <w:pPr>
              <w:pStyle w:val="10"/>
              <w:ind w:firstLine="480"/>
              <w:rPr>
                <w:rFonts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首先，公司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2019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年智能表的销售有了大幅度的提升，占销售收入的比重将达到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70%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；其次，公司的主要客户发生了很大变化，原来主要是县市级水司，</w:t>
            </w:r>
            <w:r w:rsidR="00975250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近两年逐步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进入了北京、上海、</w:t>
            </w:r>
            <w:r w:rsidR="00975250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天津、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深圳等主流一线城市；三是</w:t>
            </w:r>
            <w:r w:rsidR="00975250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今年以来，鹰潭供水、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中稀天马</w:t>
            </w:r>
            <w:proofErr w:type="gramEnd"/>
            <w:r w:rsidR="00975250"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等参股公司</w:t>
            </w:r>
            <w:r>
              <w:rPr>
                <w:rFonts w:asciiTheme="minorEastAsia" w:hAnsiTheme="minorEastAsia" w:hint="eastAsia"/>
                <w:sz w:val="24"/>
                <w:szCs w:val="24"/>
                <w:lang w:val="en-US"/>
              </w:rPr>
              <w:t>业绩也非常好。</w:t>
            </w:r>
          </w:p>
          <w:p w:rsidR="00EA3810" w:rsidRDefault="00EA381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</w:t>
            </w:r>
            <w:r w:rsidR="008B64C5">
              <w:rPr>
                <w:rFonts w:hint="eastAsia"/>
                <w:b/>
                <w:sz w:val="24"/>
                <w:szCs w:val="24"/>
                <w:lang w:val="en-US"/>
              </w:rPr>
              <w:t>预计明年的情况会怎样</w:t>
            </w:r>
          </w:p>
          <w:p w:rsidR="00E54A55" w:rsidRDefault="008B64C5">
            <w:pPr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国家智慧城市建设催生智慧水务，智慧水务的一项基础性工作就是计量产品的智能化、信息化。再加上技术成熟，产品性能、质量稳定，智能水表的用量将迅速增长。</w:t>
            </w:r>
            <w:r w:rsidR="00A413E8">
              <w:rPr>
                <w:rFonts w:asciiTheme="minorEastAsia" w:hAnsiTheme="minorEastAsia" w:hint="eastAsia"/>
                <w:sz w:val="24"/>
                <w:szCs w:val="24"/>
              </w:rPr>
              <w:t>公司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是最早与华为合作研发、推广</w:t>
            </w:r>
            <w:r w:rsidRPr="008B64C5">
              <w:rPr>
                <w:rFonts w:asciiTheme="minorEastAsia" w:hAnsiTheme="minorEastAsia" w:hint="eastAsia"/>
                <w:sz w:val="24"/>
                <w:szCs w:val="24"/>
              </w:rPr>
              <w:t>基于NB-IoT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 w:rsidRPr="008B64C5">
              <w:rPr>
                <w:rFonts w:asciiTheme="minorEastAsia" w:hAnsiTheme="minorEastAsia" w:hint="eastAsia"/>
                <w:sz w:val="24"/>
                <w:szCs w:val="24"/>
              </w:rPr>
              <w:t>技术的物联网水表的企业之一</w:t>
            </w:r>
            <w:r w:rsidR="00E54A55">
              <w:rPr>
                <w:rFonts w:asciiTheme="minorEastAsia" w:hAnsiTheme="minorEastAsia" w:hint="eastAsia"/>
                <w:sz w:val="24"/>
                <w:szCs w:val="24"/>
              </w:rPr>
              <w:t>，在全国乃至全球最早实现万量级的商用，具有明显的先发优势。另外，居民用水阶梯计价，民用计量产品首次检定、定期更换等政策推动，也会促进智能水表的推广、应用。</w:t>
            </w:r>
          </w:p>
          <w:p w:rsidR="00EA3810" w:rsidRDefault="00EA3810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lang w:val="en-US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3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</w:t>
            </w:r>
            <w:proofErr w:type="spellStart"/>
            <w:r w:rsidR="00E54A55" w:rsidRPr="00E54A55">
              <w:rPr>
                <w:b/>
                <w:sz w:val="24"/>
                <w:szCs w:val="24"/>
                <w:lang w:val="en-US"/>
              </w:rPr>
              <w:t>LoRa</w:t>
            </w:r>
            <w:proofErr w:type="spellEnd"/>
            <w:r w:rsidR="00E54A55">
              <w:rPr>
                <w:rFonts w:hint="eastAsia"/>
                <w:b/>
                <w:sz w:val="24"/>
                <w:szCs w:val="24"/>
                <w:lang w:val="en-US"/>
              </w:rPr>
              <w:t>技术与</w:t>
            </w:r>
            <w:r w:rsidR="00E54A55" w:rsidRPr="00E54A55">
              <w:rPr>
                <w:b/>
                <w:sz w:val="24"/>
                <w:szCs w:val="24"/>
                <w:lang w:val="en-US"/>
              </w:rPr>
              <w:t>NB-IoT</w:t>
            </w:r>
            <w:r w:rsidR="00E54A55">
              <w:rPr>
                <w:rFonts w:hint="eastAsia"/>
                <w:b/>
                <w:sz w:val="24"/>
                <w:szCs w:val="24"/>
                <w:lang w:val="en-US"/>
              </w:rPr>
              <w:t>技术有什么不同</w:t>
            </w:r>
          </w:p>
          <w:p w:rsidR="00EA3810" w:rsidRDefault="00A413E8" w:rsidP="00A413E8">
            <w:pPr>
              <w:pStyle w:val="1"/>
              <w:ind w:firstLineChars="200" w:firstLine="480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hint="eastAsia"/>
                <w:bCs/>
                <w:sz w:val="24"/>
                <w:szCs w:val="24"/>
                <w:lang w:val="en-US"/>
              </w:rPr>
              <w:t>L</w:t>
            </w:r>
            <w:r>
              <w:rPr>
                <w:bCs/>
                <w:sz w:val="24"/>
                <w:szCs w:val="24"/>
                <w:lang w:val="en-US"/>
              </w:rPr>
              <w:t>o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R</w:t>
            </w:r>
            <w:r>
              <w:rPr>
                <w:bCs/>
                <w:sz w:val="24"/>
                <w:szCs w:val="24"/>
                <w:lang w:val="en-US"/>
              </w:rPr>
              <w:t>a</w:t>
            </w:r>
            <w:proofErr w:type="spellEnd"/>
            <w:r w:rsidR="00E54A55">
              <w:rPr>
                <w:rFonts w:hint="eastAsia"/>
                <w:bCs/>
                <w:sz w:val="24"/>
                <w:szCs w:val="24"/>
                <w:lang w:val="en-US"/>
              </w:rPr>
              <w:t>属于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自组网</w:t>
            </w:r>
            <w:r w:rsidR="00E54A55">
              <w:rPr>
                <w:rFonts w:hint="eastAsia"/>
                <w:bCs/>
                <w:sz w:val="24"/>
                <w:szCs w:val="24"/>
                <w:lang w:val="en-US"/>
              </w:rPr>
              <w:t>的数据传输方式，</w:t>
            </w:r>
            <w:r w:rsidR="00E54A55"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NB-IoT</w:t>
            </w:r>
            <w:r w:rsidR="00E54A55">
              <w:rPr>
                <w:rFonts w:hint="eastAsia"/>
                <w:bCs/>
                <w:sz w:val="24"/>
                <w:szCs w:val="24"/>
                <w:lang w:val="en-US"/>
              </w:rPr>
              <w:t>是</w:t>
            </w:r>
            <w:proofErr w:type="gramStart"/>
            <w:r>
              <w:rPr>
                <w:rFonts w:hint="eastAsia"/>
                <w:bCs/>
                <w:sz w:val="24"/>
                <w:szCs w:val="24"/>
                <w:lang w:val="en-US"/>
              </w:rPr>
              <w:t>窄带物</w:t>
            </w:r>
            <w:proofErr w:type="gramEnd"/>
            <w:r>
              <w:rPr>
                <w:rFonts w:hint="eastAsia"/>
                <w:bCs/>
                <w:sz w:val="24"/>
                <w:szCs w:val="24"/>
                <w:lang w:val="en-US"/>
              </w:rPr>
              <w:t>联网</w:t>
            </w:r>
            <w:r w:rsidR="00E54A55">
              <w:rPr>
                <w:rFonts w:hint="eastAsia"/>
                <w:bCs/>
                <w:sz w:val="24"/>
                <w:szCs w:val="24"/>
                <w:lang w:val="en-US"/>
              </w:rPr>
              <w:t>技术，</w:t>
            </w:r>
            <w:r w:rsidR="00054992" w:rsidRPr="00054992">
              <w:rPr>
                <w:rFonts w:hint="eastAsia"/>
                <w:bCs/>
                <w:sz w:val="24"/>
                <w:szCs w:val="24"/>
                <w:lang w:val="en-US"/>
              </w:rPr>
              <w:t>具备广覆盖、低功耗、低成本和大规模连接等突出特点，</w:t>
            </w:r>
            <w:r w:rsidRPr="00A413E8">
              <w:rPr>
                <w:rFonts w:hint="eastAsia"/>
                <w:bCs/>
                <w:sz w:val="24"/>
                <w:szCs w:val="24"/>
                <w:lang w:val="en-US"/>
              </w:rPr>
              <w:t>更适合静态业务场景或非连续移动、实时传输数据的业务场景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，比如智能抄表、智能路灯、智能停车等等。</w:t>
            </w:r>
          </w:p>
          <w:p w:rsidR="00A413E8" w:rsidRDefault="00A413E8" w:rsidP="00A413E8">
            <w:pPr>
              <w:pStyle w:val="1"/>
              <w:ind w:firstLineChars="200" w:firstLine="482"/>
              <w:rPr>
                <w:rFonts w:hint="eastAsia"/>
                <w:b/>
                <w:sz w:val="24"/>
                <w:szCs w:val="24"/>
              </w:rPr>
            </w:pPr>
          </w:p>
          <w:p w:rsidR="00054992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054992">
              <w:rPr>
                <w:rFonts w:hint="eastAsia"/>
                <w:b/>
                <w:sz w:val="24"/>
                <w:szCs w:val="24"/>
              </w:rPr>
              <w:t>公司在新产品研发与投入方面的情况怎样</w:t>
            </w:r>
          </w:p>
          <w:p w:rsidR="00054992" w:rsidRDefault="00054992">
            <w:pPr>
              <w:pStyle w:val="1"/>
              <w:ind w:firstLineChars="200" w:firstLine="480"/>
              <w:rPr>
                <w:bCs/>
                <w:sz w:val="24"/>
                <w:szCs w:val="24"/>
              </w:rPr>
            </w:pPr>
            <w:r w:rsidRPr="00054992">
              <w:rPr>
                <w:rFonts w:hint="eastAsia"/>
                <w:bCs/>
                <w:sz w:val="24"/>
                <w:szCs w:val="24"/>
              </w:rPr>
              <w:t>近年来，公司的研发投入逐年增加，产品体系也更加完整</w:t>
            </w:r>
            <w:r>
              <w:rPr>
                <w:rFonts w:hint="eastAsia"/>
                <w:bCs/>
                <w:sz w:val="24"/>
                <w:szCs w:val="24"/>
              </w:rPr>
              <w:t>，</w:t>
            </w:r>
            <w:r w:rsidR="00A413E8">
              <w:rPr>
                <w:rFonts w:hint="eastAsia"/>
                <w:bCs/>
                <w:sz w:val="24"/>
                <w:szCs w:val="24"/>
              </w:rPr>
              <w:t>新产品包括超声波物联网水表、无磁水表、纯净水水表等</w:t>
            </w:r>
            <w:r w:rsidRPr="00054992">
              <w:rPr>
                <w:rFonts w:hint="eastAsia"/>
                <w:bCs/>
                <w:sz w:val="24"/>
                <w:szCs w:val="24"/>
              </w:rPr>
              <w:t>。今年</w:t>
            </w:r>
            <w:r w:rsidR="00A413E8">
              <w:rPr>
                <w:rFonts w:hint="eastAsia"/>
                <w:bCs/>
                <w:sz w:val="24"/>
                <w:szCs w:val="24"/>
              </w:rPr>
              <w:t>公司</w:t>
            </w:r>
            <w:r w:rsidRPr="00054992">
              <w:rPr>
                <w:rFonts w:hint="eastAsia"/>
                <w:bCs/>
                <w:sz w:val="24"/>
                <w:szCs w:val="24"/>
              </w:rPr>
              <w:t>与川仪股份合作，共同研发、生产电磁水表，</w:t>
            </w:r>
            <w:r w:rsidR="00A413E8">
              <w:rPr>
                <w:rFonts w:hint="eastAsia"/>
                <w:bCs/>
                <w:sz w:val="24"/>
                <w:szCs w:val="24"/>
              </w:rPr>
              <w:t>更加丰富了公司的产品结构，从而满足用户多层次、全方位的需求。</w:t>
            </w:r>
          </w:p>
          <w:p w:rsidR="00EA3810" w:rsidRDefault="00EA3810" w:rsidP="00A413E8">
            <w:pPr>
              <w:pStyle w:val="1"/>
              <w:rPr>
                <w:rFonts w:hint="eastAsia"/>
                <w:b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、水表行业进入门槛是不是不</w:t>
            </w:r>
            <w:r>
              <w:rPr>
                <w:rFonts w:hint="eastAsia"/>
                <w:b/>
                <w:sz w:val="24"/>
                <w:szCs w:val="24"/>
              </w:rPr>
              <w:t>高</w:t>
            </w:r>
          </w:p>
          <w:p w:rsidR="00EA3810" w:rsidRDefault="00A413E8">
            <w:pPr>
              <w:pStyle w:val="1"/>
              <w:ind w:firstLineChars="200"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目前国内水表生产厂家有</w:t>
            </w: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rFonts w:hint="eastAsia"/>
                <w:bCs/>
                <w:sz w:val="24"/>
                <w:szCs w:val="24"/>
              </w:rPr>
              <w:t>多家，</w:t>
            </w:r>
            <w:r>
              <w:rPr>
                <w:rFonts w:hint="eastAsia"/>
                <w:bCs/>
                <w:sz w:val="24"/>
                <w:szCs w:val="24"/>
              </w:rPr>
              <w:t>技术壁垒不算很高，很多小企业也可以生产，但是我们的优势在于产品的质量及行业的影响力。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szCs w:val="24"/>
              </w:rPr>
              <w:t>随</w:t>
            </w:r>
            <w:r>
              <w:rPr>
                <w:rFonts w:hint="eastAsia"/>
                <w:bCs/>
                <w:sz w:val="24"/>
                <w:szCs w:val="24"/>
              </w:rPr>
              <w:t>着招标采购的增加及智能水表需求的增长，一些规模小、研发投入少、技术力量薄弱的小厂生存</w:t>
            </w:r>
            <w:r>
              <w:rPr>
                <w:rFonts w:hint="eastAsia"/>
                <w:bCs/>
                <w:sz w:val="24"/>
                <w:szCs w:val="24"/>
              </w:rPr>
              <w:t>空</w:t>
            </w:r>
            <w:r>
              <w:rPr>
                <w:rFonts w:hint="eastAsia"/>
                <w:bCs/>
                <w:sz w:val="24"/>
                <w:szCs w:val="24"/>
              </w:rPr>
              <w:t>间越来越小。</w:t>
            </w:r>
          </w:p>
          <w:p w:rsidR="00EA3810" w:rsidRDefault="00EA3810">
            <w:pPr>
              <w:pStyle w:val="1"/>
              <w:ind w:firstLineChars="200" w:firstLine="480"/>
              <w:rPr>
                <w:bCs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、公司应收账款为何不断增加</w:t>
            </w:r>
          </w:p>
          <w:p w:rsidR="00EA3810" w:rsidRDefault="00A413E8">
            <w:pPr>
              <w:pStyle w:val="1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公司近年来主推智能表的销售，智能表相比传统的机械表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安装、调试、验收周期都比较长，随着公司智能水表销量大幅增长，应收账款自然也在增长。公司客户基本都是各级自来水公司，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越是大的水司单位，付款周期越会长一些，这是一个正常现象，</w:t>
            </w:r>
            <w:r w:rsidR="008B64C5">
              <w:rPr>
                <w:rFonts w:asciiTheme="minorEastAsia" w:hAnsiTheme="minorEastAsia" w:hint="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</w:t>
            </w:r>
            <w:r w:rsidR="008B64C5">
              <w:rPr>
                <w:rFonts w:asciiTheme="minorEastAsia" w:hAnsiTheme="minorEastAsia" w:hint="eastAsia"/>
                <w:sz w:val="24"/>
                <w:szCs w:val="24"/>
              </w:rPr>
              <w:t>容易形成坏账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A3810" w:rsidRDefault="00EA3810">
            <w:pPr>
              <w:pStyle w:val="1"/>
              <w:rPr>
                <w:rFonts w:asciiTheme="minorEastAsia" w:hAnsiTheme="minorEastAsia"/>
                <w:sz w:val="24"/>
                <w:szCs w:val="24"/>
              </w:rPr>
            </w:pPr>
          </w:p>
          <w:p w:rsidR="00EA3810" w:rsidRDefault="00A413E8">
            <w:pPr>
              <w:pStyle w:val="1"/>
              <w:ind w:firstLineChars="200" w:firstLine="482"/>
              <w:rPr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7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、公司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未来发展战略如何</w:t>
            </w:r>
          </w:p>
          <w:p w:rsidR="00EA3810" w:rsidRDefault="00A413E8">
            <w:pPr>
              <w:pStyle w:val="1"/>
              <w:ind w:firstLineChars="200" w:firstLine="480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可以归纳为“三步走”战略：一是把产品做好，做到极致；二是把服务做好，从纯粹的制造业向制造和服务业转型；三是基于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>NB-IoT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>物联网水表的大规模商用和智慧水务管理系统的推广应用，利用所获得的海量的实时用水数据，探索新的商业模式和赢利模式，最终实现数字化转型升级。</w:t>
            </w:r>
          </w:p>
          <w:p w:rsidR="00EA3810" w:rsidRDefault="00EA3810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</w:p>
        </w:tc>
      </w:tr>
      <w:tr w:rsidR="00EA3810">
        <w:trPr>
          <w:trHeight w:val="578"/>
        </w:trPr>
        <w:tc>
          <w:tcPr>
            <w:tcW w:w="1872" w:type="dxa"/>
          </w:tcPr>
          <w:p w:rsidR="00EA3810" w:rsidRDefault="00A413E8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92" w:type="dxa"/>
          </w:tcPr>
          <w:p w:rsidR="00EA3810" w:rsidRDefault="00A413E8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无</w:t>
            </w:r>
          </w:p>
        </w:tc>
      </w:tr>
      <w:tr w:rsidR="00EA3810">
        <w:tc>
          <w:tcPr>
            <w:tcW w:w="1872" w:type="dxa"/>
          </w:tcPr>
          <w:p w:rsidR="00EA3810" w:rsidRDefault="00A413E8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日期</w:t>
            </w:r>
          </w:p>
        </w:tc>
        <w:tc>
          <w:tcPr>
            <w:tcW w:w="6492" w:type="dxa"/>
          </w:tcPr>
          <w:p w:rsidR="00EA3810" w:rsidRDefault="00A413E8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201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9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2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val="en-US"/>
              </w:rPr>
              <w:t>9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日</w:t>
            </w:r>
          </w:p>
        </w:tc>
      </w:tr>
    </w:tbl>
    <w:p w:rsidR="00EA3810" w:rsidRDefault="00EA3810">
      <w:pPr>
        <w:rPr>
          <w:rFonts w:ascii="微软雅黑" w:eastAsia="微软雅黑" w:hAnsi="微软雅黑"/>
          <w:sz w:val="24"/>
          <w:szCs w:val="24"/>
        </w:rPr>
      </w:pPr>
    </w:p>
    <w:sectPr w:rsidR="00EA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BC"/>
    <w:rsid w:val="00000D38"/>
    <w:rsid w:val="00004C49"/>
    <w:rsid w:val="00011ABC"/>
    <w:rsid w:val="00016488"/>
    <w:rsid w:val="00020BB4"/>
    <w:rsid w:val="000279BA"/>
    <w:rsid w:val="00030DA2"/>
    <w:rsid w:val="00034D3B"/>
    <w:rsid w:val="00044326"/>
    <w:rsid w:val="00050E82"/>
    <w:rsid w:val="00054992"/>
    <w:rsid w:val="00067806"/>
    <w:rsid w:val="000869DB"/>
    <w:rsid w:val="00093C4A"/>
    <w:rsid w:val="000A4F93"/>
    <w:rsid w:val="000C0D29"/>
    <w:rsid w:val="000C39C7"/>
    <w:rsid w:val="000D05C0"/>
    <w:rsid w:val="000E485A"/>
    <w:rsid w:val="00122CBA"/>
    <w:rsid w:val="001302AD"/>
    <w:rsid w:val="00133EC1"/>
    <w:rsid w:val="0017458F"/>
    <w:rsid w:val="001B1CF2"/>
    <w:rsid w:val="001C7112"/>
    <w:rsid w:val="001F12DF"/>
    <w:rsid w:val="00214B24"/>
    <w:rsid w:val="002311A7"/>
    <w:rsid w:val="0023633C"/>
    <w:rsid w:val="00242F7B"/>
    <w:rsid w:val="0024334D"/>
    <w:rsid w:val="002B25FE"/>
    <w:rsid w:val="002D6467"/>
    <w:rsid w:val="002F1F38"/>
    <w:rsid w:val="003208E5"/>
    <w:rsid w:val="00322C44"/>
    <w:rsid w:val="00356312"/>
    <w:rsid w:val="00356E67"/>
    <w:rsid w:val="003A6E60"/>
    <w:rsid w:val="003B0BC6"/>
    <w:rsid w:val="003D3DD1"/>
    <w:rsid w:val="003E0DE7"/>
    <w:rsid w:val="003E4D4A"/>
    <w:rsid w:val="00404B4D"/>
    <w:rsid w:val="00433C68"/>
    <w:rsid w:val="00481248"/>
    <w:rsid w:val="00486C4B"/>
    <w:rsid w:val="00490557"/>
    <w:rsid w:val="004C1A23"/>
    <w:rsid w:val="004D045B"/>
    <w:rsid w:val="004F0FBC"/>
    <w:rsid w:val="004F7EFD"/>
    <w:rsid w:val="00536061"/>
    <w:rsid w:val="005573D3"/>
    <w:rsid w:val="00567874"/>
    <w:rsid w:val="00583027"/>
    <w:rsid w:val="00597AE1"/>
    <w:rsid w:val="005C70DC"/>
    <w:rsid w:val="005F3500"/>
    <w:rsid w:val="0060118D"/>
    <w:rsid w:val="006334C1"/>
    <w:rsid w:val="0065376D"/>
    <w:rsid w:val="00667BF5"/>
    <w:rsid w:val="00677654"/>
    <w:rsid w:val="006D0FBE"/>
    <w:rsid w:val="006E6234"/>
    <w:rsid w:val="006F5ED9"/>
    <w:rsid w:val="00740914"/>
    <w:rsid w:val="00767F74"/>
    <w:rsid w:val="00786D6A"/>
    <w:rsid w:val="0079622C"/>
    <w:rsid w:val="00797A43"/>
    <w:rsid w:val="00797DBC"/>
    <w:rsid w:val="007B0171"/>
    <w:rsid w:val="007B3C49"/>
    <w:rsid w:val="007B67EF"/>
    <w:rsid w:val="007C3738"/>
    <w:rsid w:val="007C6127"/>
    <w:rsid w:val="007D00B1"/>
    <w:rsid w:val="007F12D4"/>
    <w:rsid w:val="008544ED"/>
    <w:rsid w:val="00874511"/>
    <w:rsid w:val="008829A1"/>
    <w:rsid w:val="008B64C5"/>
    <w:rsid w:val="008F6D9D"/>
    <w:rsid w:val="00902FFC"/>
    <w:rsid w:val="009158D8"/>
    <w:rsid w:val="009543E6"/>
    <w:rsid w:val="00954E48"/>
    <w:rsid w:val="0096251B"/>
    <w:rsid w:val="00975250"/>
    <w:rsid w:val="0099071B"/>
    <w:rsid w:val="009B0948"/>
    <w:rsid w:val="009E0784"/>
    <w:rsid w:val="009F55AA"/>
    <w:rsid w:val="009F6D3F"/>
    <w:rsid w:val="00A03A5E"/>
    <w:rsid w:val="00A215D3"/>
    <w:rsid w:val="00A413E8"/>
    <w:rsid w:val="00A46683"/>
    <w:rsid w:val="00A47FE0"/>
    <w:rsid w:val="00A511AB"/>
    <w:rsid w:val="00A60E89"/>
    <w:rsid w:val="00A628AB"/>
    <w:rsid w:val="00A816F2"/>
    <w:rsid w:val="00A81BE4"/>
    <w:rsid w:val="00A91E56"/>
    <w:rsid w:val="00A9231A"/>
    <w:rsid w:val="00A960D0"/>
    <w:rsid w:val="00AC5491"/>
    <w:rsid w:val="00AC5B05"/>
    <w:rsid w:val="00AE0F16"/>
    <w:rsid w:val="00AE3CC1"/>
    <w:rsid w:val="00AF4006"/>
    <w:rsid w:val="00B34E7A"/>
    <w:rsid w:val="00B457FE"/>
    <w:rsid w:val="00B458A5"/>
    <w:rsid w:val="00B53CF6"/>
    <w:rsid w:val="00B575F7"/>
    <w:rsid w:val="00B674E2"/>
    <w:rsid w:val="00B9667C"/>
    <w:rsid w:val="00BD4DB3"/>
    <w:rsid w:val="00BD6930"/>
    <w:rsid w:val="00BE4BF5"/>
    <w:rsid w:val="00BE790D"/>
    <w:rsid w:val="00BF469B"/>
    <w:rsid w:val="00C02D03"/>
    <w:rsid w:val="00C047F7"/>
    <w:rsid w:val="00C13061"/>
    <w:rsid w:val="00C1732C"/>
    <w:rsid w:val="00C24FC2"/>
    <w:rsid w:val="00C44899"/>
    <w:rsid w:val="00C45296"/>
    <w:rsid w:val="00C51A98"/>
    <w:rsid w:val="00C53723"/>
    <w:rsid w:val="00C60DDE"/>
    <w:rsid w:val="00C664AF"/>
    <w:rsid w:val="00C75CA1"/>
    <w:rsid w:val="00C80A78"/>
    <w:rsid w:val="00C9190B"/>
    <w:rsid w:val="00CA50C2"/>
    <w:rsid w:val="00CB19D8"/>
    <w:rsid w:val="00CB6974"/>
    <w:rsid w:val="00CC0433"/>
    <w:rsid w:val="00CC1C9E"/>
    <w:rsid w:val="00D00DF0"/>
    <w:rsid w:val="00D275DE"/>
    <w:rsid w:val="00D4688A"/>
    <w:rsid w:val="00D56B2F"/>
    <w:rsid w:val="00DC3044"/>
    <w:rsid w:val="00DE049E"/>
    <w:rsid w:val="00DE7DCC"/>
    <w:rsid w:val="00DF47A2"/>
    <w:rsid w:val="00DF5504"/>
    <w:rsid w:val="00E065C8"/>
    <w:rsid w:val="00E149C8"/>
    <w:rsid w:val="00E2021E"/>
    <w:rsid w:val="00E46EDF"/>
    <w:rsid w:val="00E52B3B"/>
    <w:rsid w:val="00E530FC"/>
    <w:rsid w:val="00E54A55"/>
    <w:rsid w:val="00E7585A"/>
    <w:rsid w:val="00E763DE"/>
    <w:rsid w:val="00E8583B"/>
    <w:rsid w:val="00E96CB2"/>
    <w:rsid w:val="00EA3810"/>
    <w:rsid w:val="00EB224E"/>
    <w:rsid w:val="00EC66D0"/>
    <w:rsid w:val="00EE4ABA"/>
    <w:rsid w:val="00F12E38"/>
    <w:rsid w:val="00F3765C"/>
    <w:rsid w:val="00F40E22"/>
    <w:rsid w:val="00F43516"/>
    <w:rsid w:val="00F61C20"/>
    <w:rsid w:val="00F86486"/>
    <w:rsid w:val="00FD697D"/>
    <w:rsid w:val="0D704B2D"/>
    <w:rsid w:val="0EB71A0C"/>
    <w:rsid w:val="0FC873E2"/>
    <w:rsid w:val="17C47769"/>
    <w:rsid w:val="1EA72C2B"/>
    <w:rsid w:val="1F150DF7"/>
    <w:rsid w:val="229944E7"/>
    <w:rsid w:val="365D6CAA"/>
    <w:rsid w:val="39AE16D1"/>
    <w:rsid w:val="3AA1115F"/>
    <w:rsid w:val="3CA8129F"/>
    <w:rsid w:val="3CB36D6C"/>
    <w:rsid w:val="52A66F2C"/>
    <w:rsid w:val="561D40C5"/>
    <w:rsid w:val="5968768B"/>
    <w:rsid w:val="59CC6F08"/>
    <w:rsid w:val="63C377AA"/>
    <w:rsid w:val="68C1560E"/>
    <w:rsid w:val="70DA67D2"/>
    <w:rsid w:val="77CA6C3D"/>
    <w:rsid w:val="7959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BD8F2"/>
  <w15:docId w15:val="{12DBC568-269B-40BE-AEC4-0CD981E0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fr-FR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fr-FR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  <w:lang w:val="fr-FR"/>
    </w:rPr>
  </w:style>
  <w:style w:type="character" w:customStyle="1" w:styleId="a8">
    <w:name w:val="页眉 字符"/>
    <w:basedOn w:val="a0"/>
    <w:link w:val="a7"/>
    <w:qFormat/>
    <w:rPr>
      <w:sz w:val="18"/>
      <w:szCs w:val="18"/>
      <w:lang w:val="fr-FR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val="fr-FR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F852E-0157-450D-8F60-220E2CF3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192</Words>
  <Characters>1096</Characters>
  <Application>Microsoft Office Word</Application>
  <DocSecurity>0</DocSecurity>
  <Lines>9</Lines>
  <Paragraphs>2</Paragraphs>
  <ScaleCrop>false</ScaleCrop>
  <Company>china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ZQBSXY</dc:creator>
  <cp:lastModifiedBy>Administrator</cp:lastModifiedBy>
  <cp:revision>38</cp:revision>
  <dcterms:created xsi:type="dcterms:W3CDTF">2016-12-13T07:14:00Z</dcterms:created>
  <dcterms:modified xsi:type="dcterms:W3CDTF">2019-12-21T03:10:00Z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