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 w:afterLines="50" w:line="460" w:lineRule="exact"/>
        <w:jc w:val="center"/>
        <w:rPr>
          <w:rFonts w:cs="楷体_GB2312" w:asciiTheme="minorEastAsia" w:hAnsiTheme="minorEastAsia"/>
          <w:b/>
          <w:bCs/>
          <w:iCs/>
          <w:color w:val="000000"/>
          <w:sz w:val="30"/>
          <w:szCs w:val="30"/>
        </w:rPr>
      </w:pPr>
      <w:r>
        <w:rPr>
          <w:rFonts w:hint="eastAsia" w:cs="楷体_GB2312" w:asciiTheme="minorEastAsia" w:hAnsiTheme="minorEastAsia"/>
          <w:b/>
          <w:bCs/>
          <w:iCs/>
          <w:color w:val="000000"/>
          <w:sz w:val="30"/>
          <w:szCs w:val="30"/>
        </w:rPr>
        <w:t>深圳市联得自动化装备股份有限公司</w:t>
      </w:r>
    </w:p>
    <w:p>
      <w:pPr>
        <w:spacing w:beforeLines="50" w:afterLines="50" w:line="460" w:lineRule="exact"/>
        <w:jc w:val="center"/>
        <w:rPr>
          <w:rFonts w:cs="Times New Roman" w:asciiTheme="minorEastAsia" w:hAnsiTheme="minorEastAsia"/>
          <w:b/>
          <w:bCs/>
          <w:iCs/>
          <w:color w:val="000000"/>
          <w:sz w:val="30"/>
          <w:szCs w:val="30"/>
        </w:rPr>
      </w:pPr>
      <w:r>
        <w:rPr>
          <w:rFonts w:hint="eastAsia" w:cs="楷体_GB2312" w:asciiTheme="minorEastAsia" w:hAnsiTheme="minorEastAsia"/>
          <w:b/>
          <w:bCs/>
          <w:iCs/>
          <w:color w:val="000000"/>
          <w:sz w:val="30"/>
          <w:szCs w:val="30"/>
        </w:rPr>
        <w:t>投资者关系活动记录表</w:t>
      </w:r>
    </w:p>
    <w:p>
      <w:pPr>
        <w:spacing w:beforeLines="50" w:afterLines="50" w:line="460" w:lineRule="exact"/>
        <w:rPr>
          <w:rFonts w:ascii="Times New Roman" w:hAnsi="Times New Roman" w:cs="Times New Roman"/>
          <w:bCs/>
          <w:iCs/>
          <w:color w:val="000000"/>
          <w:szCs w:val="21"/>
        </w:rPr>
      </w:pPr>
      <w:r>
        <w:rPr>
          <w:rFonts w:ascii="Times New Roman" w:cs="Times New Roman" w:hAnsiTheme="minorEastAsia"/>
          <w:bCs/>
          <w:iCs/>
          <w:color w:val="000000"/>
          <w:szCs w:val="21"/>
        </w:rPr>
        <w:t>证券简称：联得装备</w:t>
      </w:r>
      <w:r>
        <w:rPr>
          <w:rFonts w:ascii="Times New Roman" w:hAnsi="Times New Roman" w:cs="Times New Roman"/>
          <w:bCs/>
          <w:iCs/>
          <w:color w:val="000000"/>
          <w:szCs w:val="21"/>
        </w:rPr>
        <w:t xml:space="preserve">               </w:t>
      </w:r>
      <w:r>
        <w:rPr>
          <w:rFonts w:ascii="Times New Roman" w:cs="Times New Roman" w:hAnsiTheme="minorEastAsia"/>
          <w:bCs/>
          <w:iCs/>
          <w:color w:val="000000"/>
          <w:szCs w:val="21"/>
        </w:rPr>
        <w:t>证券代码：</w:t>
      </w:r>
      <w:r>
        <w:rPr>
          <w:rFonts w:ascii="Times New Roman" w:hAnsi="Times New Roman" w:cs="Times New Roman"/>
          <w:bCs/>
          <w:iCs/>
          <w:color w:val="000000"/>
          <w:szCs w:val="21"/>
        </w:rPr>
        <w:t xml:space="preserve">300545               </w:t>
      </w:r>
      <w:r>
        <w:rPr>
          <w:rFonts w:ascii="Times New Roman" w:cs="Times New Roman" w:hAnsiTheme="minorEastAsia"/>
          <w:bCs/>
          <w:iCs/>
          <w:color w:val="000000"/>
          <w:szCs w:val="21"/>
        </w:rPr>
        <w:t>编号：</w:t>
      </w:r>
      <w:r>
        <w:rPr>
          <w:rFonts w:hint="eastAsia" w:ascii="Times New Roman" w:hAnsi="Times New Roman" w:cs="Times New Roman"/>
          <w:bCs/>
          <w:iCs/>
          <w:color w:val="000000"/>
          <w:szCs w:val="21"/>
        </w:rPr>
        <w:t>2020-001</w:t>
      </w:r>
    </w:p>
    <w:tbl>
      <w:tblPr>
        <w:tblStyle w:val="5"/>
        <w:tblW w:w="91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5"/>
        <w:gridCol w:w="69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jc w:val="center"/>
              <w:rPr>
                <w:rFonts w:cs="Times New Roman" w:asciiTheme="minorEastAsia" w:hAnsiTheme="minorEastAsia"/>
                <w:bCs/>
                <w:iCs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bCs/>
                <w:iCs/>
                <w:color w:val="000000"/>
                <w:szCs w:val="21"/>
              </w:rPr>
              <w:t>投资者关系活动类别</w:t>
            </w:r>
          </w:p>
          <w:p>
            <w:pPr>
              <w:spacing w:line="460" w:lineRule="exact"/>
              <w:jc w:val="center"/>
              <w:rPr>
                <w:rFonts w:cs="Times New Roman" w:asciiTheme="minorEastAsia" w:hAnsiTheme="minorEastAsia"/>
                <w:bCs/>
                <w:iCs/>
                <w:color w:val="000000"/>
                <w:szCs w:val="21"/>
              </w:rPr>
            </w:pPr>
          </w:p>
        </w:tc>
        <w:tc>
          <w:tcPr>
            <w:tcW w:w="6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rPr>
                <w:rFonts w:cs="Times New Roman" w:asciiTheme="minorEastAsia" w:hAnsiTheme="minorEastAsia"/>
                <w:bCs/>
                <w:iCs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bCs/>
                <w:iCs/>
                <w:color w:val="000000"/>
                <w:szCs w:val="21"/>
              </w:rPr>
              <w:t>█</w:t>
            </w:r>
            <w:r>
              <w:rPr>
                <w:rFonts w:hint="eastAsia" w:cs="Times New Roman" w:asciiTheme="minorEastAsia" w:hAnsiTheme="minorEastAsia"/>
                <w:szCs w:val="21"/>
              </w:rPr>
              <w:t xml:space="preserve">特定对象调研        </w:t>
            </w:r>
            <w:r>
              <w:rPr>
                <w:rFonts w:hint="eastAsia" w:cs="Times New Roman" w:asciiTheme="minorEastAsia" w:hAnsiTheme="minorEastAsia"/>
                <w:bCs/>
                <w:iCs/>
                <w:color w:val="000000"/>
                <w:szCs w:val="21"/>
              </w:rPr>
              <w:t>□</w:t>
            </w:r>
            <w:r>
              <w:rPr>
                <w:rFonts w:hint="eastAsia" w:cs="Times New Roman" w:asciiTheme="minorEastAsia" w:hAnsiTheme="minorEastAsia"/>
                <w:szCs w:val="21"/>
              </w:rPr>
              <w:t>分析师会议</w:t>
            </w:r>
          </w:p>
          <w:p>
            <w:pPr>
              <w:spacing w:line="460" w:lineRule="exact"/>
              <w:rPr>
                <w:rFonts w:cs="Times New Roman" w:asciiTheme="minorEastAsia" w:hAnsiTheme="minorEastAsia"/>
                <w:bCs/>
                <w:iCs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bCs/>
                <w:iCs/>
                <w:color w:val="000000"/>
                <w:szCs w:val="21"/>
              </w:rPr>
              <w:t>□</w:t>
            </w:r>
            <w:r>
              <w:rPr>
                <w:rFonts w:hint="eastAsia" w:cs="Times New Roman" w:asciiTheme="minorEastAsia" w:hAnsiTheme="minorEastAsia"/>
                <w:szCs w:val="21"/>
              </w:rPr>
              <w:t xml:space="preserve">媒体采访            </w:t>
            </w:r>
            <w:r>
              <w:rPr>
                <w:rFonts w:hint="eastAsia" w:cs="Times New Roman" w:asciiTheme="minorEastAsia" w:hAnsiTheme="minorEastAsia"/>
                <w:bCs/>
                <w:iCs/>
                <w:color w:val="000000"/>
                <w:szCs w:val="21"/>
              </w:rPr>
              <w:t>□</w:t>
            </w:r>
            <w:r>
              <w:rPr>
                <w:rFonts w:hint="eastAsia" w:cs="Times New Roman" w:asciiTheme="minorEastAsia" w:hAnsiTheme="minorEastAsia"/>
                <w:szCs w:val="21"/>
              </w:rPr>
              <w:t>业绩说明会</w:t>
            </w:r>
          </w:p>
          <w:p>
            <w:pPr>
              <w:spacing w:line="460" w:lineRule="exact"/>
              <w:rPr>
                <w:rFonts w:cs="Times New Roman" w:asciiTheme="minorEastAsia" w:hAnsiTheme="minorEastAsia"/>
                <w:bCs/>
                <w:iCs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bCs/>
                <w:iCs/>
                <w:color w:val="000000"/>
                <w:szCs w:val="21"/>
              </w:rPr>
              <w:t>□</w:t>
            </w:r>
            <w:r>
              <w:rPr>
                <w:rFonts w:hint="eastAsia" w:cs="Times New Roman" w:asciiTheme="minorEastAsia" w:hAnsiTheme="minorEastAsia"/>
                <w:szCs w:val="21"/>
              </w:rPr>
              <w:t xml:space="preserve">新闻发布会          </w:t>
            </w:r>
            <w:r>
              <w:rPr>
                <w:rFonts w:hint="eastAsia" w:cs="Times New Roman" w:asciiTheme="minorEastAsia" w:hAnsiTheme="minorEastAsia"/>
                <w:bCs/>
                <w:iCs/>
                <w:color w:val="000000"/>
                <w:szCs w:val="21"/>
              </w:rPr>
              <w:t>□</w:t>
            </w:r>
            <w:r>
              <w:rPr>
                <w:rFonts w:hint="eastAsia" w:cs="Times New Roman" w:asciiTheme="minorEastAsia" w:hAnsiTheme="minorEastAsia"/>
                <w:szCs w:val="21"/>
              </w:rPr>
              <w:t>路演活动</w:t>
            </w:r>
          </w:p>
          <w:p>
            <w:pPr>
              <w:tabs>
                <w:tab w:val="left" w:pos="3045"/>
                <w:tab w:val="center" w:pos="3199"/>
              </w:tabs>
              <w:spacing w:line="460" w:lineRule="exact"/>
              <w:rPr>
                <w:rFonts w:cs="Times New Roman" w:asciiTheme="minorEastAsia" w:hAnsiTheme="minorEastAsia"/>
                <w:bCs/>
                <w:iCs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bCs/>
                <w:iCs/>
                <w:color w:val="000000"/>
                <w:szCs w:val="21"/>
              </w:rPr>
              <w:t>□</w:t>
            </w:r>
            <w:r>
              <w:rPr>
                <w:rFonts w:hint="eastAsia" w:cs="Times New Roman" w:asciiTheme="minorEastAsia" w:hAnsiTheme="minorEastAsia"/>
                <w:szCs w:val="21"/>
              </w:rPr>
              <w:t xml:space="preserve">现场参观            </w:t>
            </w:r>
            <w:r>
              <w:rPr>
                <w:rFonts w:hint="eastAsia" w:cs="Times New Roman" w:asciiTheme="minorEastAsia" w:hAnsiTheme="minorEastAsia"/>
                <w:bCs/>
                <w:iCs/>
                <w:color w:val="000000"/>
                <w:szCs w:val="21"/>
              </w:rPr>
              <w:t>□</w:t>
            </w:r>
            <w:r>
              <w:rPr>
                <w:rFonts w:hint="eastAsia" w:cs="Times New Roman" w:asciiTheme="minorEastAsia" w:hAnsiTheme="minorEastAsia"/>
                <w:szCs w:val="21"/>
              </w:rPr>
              <w:t>其他 ___________________</w:t>
            </w:r>
            <w:r>
              <w:rPr>
                <w:rFonts w:hint="eastAsia" w:cs="Times New Roman" w:asciiTheme="minorEastAsia" w:hAnsiTheme="minorEastAsia"/>
                <w:bCs/>
                <w:iCs/>
                <w:color w:val="000000"/>
                <w:szCs w:val="21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jc w:val="center"/>
              <w:rPr>
                <w:rFonts w:cs="Times New Roman" w:asciiTheme="minorEastAsia" w:hAnsiTheme="minorEastAsia"/>
                <w:bCs/>
                <w:iCs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bCs/>
                <w:iCs/>
                <w:color w:val="000000"/>
                <w:szCs w:val="21"/>
              </w:rPr>
              <w:t>参与单位名称及人员姓名</w:t>
            </w:r>
          </w:p>
        </w:tc>
        <w:tc>
          <w:tcPr>
            <w:tcW w:w="6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Times New Roman" w:hAnsi="Times New Roman" w:cs="Times New Roman"/>
                <w:bCs/>
                <w:iCs/>
                <w:color w:val="000000"/>
                <w:szCs w:val="21"/>
              </w:rPr>
            </w:pPr>
            <w:r>
              <w:rPr>
                <w:rFonts w:hint="eastAsia" w:ascii="Times New Roman" w:hAnsi="Times New Roman" w:cs="Times New Roman"/>
                <w:bCs/>
                <w:iCs/>
                <w:color w:val="000000"/>
                <w:szCs w:val="21"/>
              </w:rPr>
              <w:t>广发证券 代川          长城基金 陈良栋</w:t>
            </w:r>
          </w:p>
          <w:p>
            <w:pPr>
              <w:spacing w:line="460" w:lineRule="exact"/>
              <w:jc w:val="left"/>
              <w:rPr>
                <w:rFonts w:ascii="Arial" w:hAnsi="Arial" w:eastAsia="宋体" w:cs="Arial"/>
                <w:color w:val="333333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bCs/>
                <w:iCs/>
                <w:color w:val="000000"/>
                <w:szCs w:val="21"/>
              </w:rPr>
              <w:t xml:space="preserve">南方基金 姚万宁        </w:t>
            </w:r>
            <w:r>
              <w:rPr>
                <w:rFonts w:hint="eastAsia" w:ascii="Arial" w:hAnsi="Arial" w:eastAsia="宋体" w:cs="Arial"/>
                <w:color w:val="333333"/>
                <w:kern w:val="0"/>
                <w:szCs w:val="21"/>
              </w:rPr>
              <w:t>农银汇理基金 刘世昌</w:t>
            </w:r>
          </w:p>
          <w:p>
            <w:pPr>
              <w:spacing w:line="460" w:lineRule="exact"/>
              <w:jc w:val="left"/>
              <w:rPr>
                <w:rFonts w:ascii="Arial" w:hAnsi="Arial" w:eastAsia="宋体" w:cs="Arial"/>
                <w:color w:val="333333"/>
                <w:kern w:val="0"/>
                <w:szCs w:val="21"/>
              </w:rPr>
            </w:pPr>
            <w:r>
              <w:rPr>
                <w:rFonts w:hint="eastAsia" w:ascii="Arial" w:hAnsi="Arial" w:eastAsia="宋体" w:cs="Arial"/>
                <w:color w:val="333333"/>
                <w:kern w:val="0"/>
                <w:szCs w:val="21"/>
              </w:rPr>
              <w:t>中融基金 甘传琦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jc w:val="center"/>
              <w:rPr>
                <w:rFonts w:cs="Times New Roman" w:asciiTheme="minorEastAsia" w:hAnsiTheme="minorEastAsia"/>
                <w:bCs/>
                <w:iCs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bCs/>
                <w:iCs/>
                <w:color w:val="000000"/>
                <w:szCs w:val="21"/>
              </w:rPr>
              <w:t>时间</w:t>
            </w:r>
          </w:p>
        </w:tc>
        <w:tc>
          <w:tcPr>
            <w:tcW w:w="6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rPr>
                <w:rFonts w:cs="Times New Roman" w:asciiTheme="minorEastAsia" w:hAnsiTheme="minorEastAsia"/>
                <w:bCs/>
                <w:iCs/>
                <w:color w:val="000000"/>
                <w:szCs w:val="21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Cs w:val="21"/>
              </w:rPr>
              <w:t>20</w:t>
            </w:r>
            <w:r>
              <w:rPr>
                <w:rFonts w:hint="eastAsia" w:ascii="Times New Roman" w:hAnsi="Times New Roman"/>
                <w:bCs/>
                <w:iCs/>
                <w:color w:val="000000"/>
                <w:szCs w:val="21"/>
              </w:rPr>
              <w:t>20</w:t>
            </w:r>
            <w:r>
              <w:rPr>
                <w:rFonts w:ascii="Times New Roman" w:hAnsi="宋体"/>
                <w:bCs/>
                <w:iCs/>
                <w:color w:val="000000"/>
                <w:szCs w:val="21"/>
              </w:rPr>
              <w:t>年</w:t>
            </w:r>
            <w:r>
              <w:rPr>
                <w:rFonts w:hint="eastAsia" w:ascii="Times New Roman" w:hAnsi="Times New Roman"/>
                <w:bCs/>
                <w:iCs/>
                <w:color w:val="000000"/>
                <w:szCs w:val="21"/>
              </w:rPr>
              <w:t>1</w:t>
            </w:r>
            <w:r>
              <w:rPr>
                <w:rFonts w:ascii="Times New Roman" w:hAnsi="宋体"/>
                <w:bCs/>
                <w:iCs/>
                <w:color w:val="000000"/>
                <w:szCs w:val="21"/>
              </w:rPr>
              <w:t>月</w:t>
            </w:r>
            <w:r>
              <w:rPr>
                <w:rFonts w:hint="eastAsia" w:ascii="Times New Roman" w:hAnsi="宋体"/>
                <w:bCs/>
                <w:iCs/>
                <w:color w:val="000000"/>
                <w:szCs w:val="21"/>
              </w:rPr>
              <w:t>15</w:t>
            </w:r>
            <w:r>
              <w:rPr>
                <w:rFonts w:ascii="Times New Roman" w:hAnsi="宋体"/>
                <w:bCs/>
                <w:iCs/>
                <w:color w:val="000000"/>
                <w:szCs w:val="21"/>
              </w:rPr>
              <w:t>日</w:t>
            </w:r>
            <w:r>
              <w:rPr>
                <w:rFonts w:hint="eastAsia" w:ascii="Times New Roman" w:hAnsi="宋体"/>
                <w:bCs/>
                <w:iCs/>
                <w:color w:val="000000"/>
                <w:szCs w:val="21"/>
              </w:rPr>
              <w:t>上午10:00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jc w:val="center"/>
              <w:rPr>
                <w:rFonts w:cs="Times New Roman" w:asciiTheme="minorEastAsia" w:hAnsiTheme="minorEastAsia"/>
                <w:bCs/>
                <w:iCs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bCs/>
                <w:iCs/>
                <w:color w:val="000000"/>
                <w:szCs w:val="21"/>
              </w:rPr>
              <w:t>地点</w:t>
            </w:r>
          </w:p>
        </w:tc>
        <w:tc>
          <w:tcPr>
            <w:tcW w:w="6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rPr>
                <w:rFonts w:cs="Times New Roman" w:asciiTheme="minorEastAsia" w:hAnsiTheme="minorEastAsia"/>
                <w:bCs/>
                <w:iCs/>
                <w:color w:val="000000"/>
                <w:szCs w:val="21"/>
              </w:rPr>
            </w:pPr>
            <w:r>
              <w:rPr>
                <w:rFonts w:hint="eastAsia" w:ascii="Times New Roman" w:hAnsi="宋体"/>
                <w:bCs/>
                <w:iCs/>
                <w:color w:val="000000"/>
                <w:szCs w:val="21"/>
              </w:rPr>
              <w:t>深圳市联得自动化装备股份有限公司会议室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jc w:val="center"/>
              <w:rPr>
                <w:rFonts w:cs="Times New Roman" w:asciiTheme="minorEastAsia" w:hAnsiTheme="minorEastAsia"/>
                <w:bCs/>
                <w:iCs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bCs/>
                <w:iCs/>
                <w:color w:val="000000"/>
                <w:szCs w:val="21"/>
              </w:rPr>
              <w:t>上市公司接待人员</w:t>
            </w:r>
          </w:p>
          <w:p>
            <w:pPr>
              <w:spacing w:line="460" w:lineRule="exact"/>
              <w:jc w:val="center"/>
              <w:rPr>
                <w:rFonts w:cs="Times New Roman" w:asciiTheme="minorEastAsia" w:hAnsiTheme="minorEastAsia"/>
                <w:bCs/>
                <w:iCs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bCs/>
                <w:iCs/>
                <w:color w:val="000000"/>
                <w:szCs w:val="21"/>
              </w:rPr>
              <w:t>姓名</w:t>
            </w:r>
          </w:p>
        </w:tc>
        <w:tc>
          <w:tcPr>
            <w:tcW w:w="6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Times New Roman" w:hAnsi="宋体"/>
                <w:bCs/>
                <w:iCs/>
                <w:color w:val="000000"/>
                <w:szCs w:val="21"/>
              </w:rPr>
            </w:pPr>
            <w:r>
              <w:rPr>
                <w:rFonts w:hint="eastAsia" w:ascii="Times New Roman" w:hAnsi="宋体"/>
                <w:bCs/>
                <w:iCs/>
                <w:color w:val="000000"/>
                <w:szCs w:val="21"/>
              </w:rPr>
              <w:t>董事长：聂泉先生</w:t>
            </w:r>
          </w:p>
          <w:p>
            <w:pPr>
              <w:spacing w:line="360" w:lineRule="auto"/>
              <w:rPr>
                <w:rFonts w:ascii="Times New Roman" w:hAnsi="Times New Roman"/>
                <w:bCs/>
                <w:iCs/>
                <w:color w:val="000000"/>
                <w:szCs w:val="21"/>
              </w:rPr>
            </w:pPr>
            <w:r>
              <w:rPr>
                <w:rFonts w:ascii="Times New Roman" w:hAnsi="宋体"/>
                <w:bCs/>
                <w:iCs/>
                <w:color w:val="000000"/>
                <w:szCs w:val="21"/>
              </w:rPr>
              <w:t>董事会秘书</w:t>
            </w:r>
            <w:r>
              <w:rPr>
                <w:rFonts w:hint="eastAsia" w:ascii="Times New Roman" w:hAnsi="Times New Roman"/>
                <w:bCs/>
                <w:iCs/>
                <w:color w:val="000000"/>
                <w:szCs w:val="21"/>
              </w:rPr>
              <w:t>：</w:t>
            </w:r>
            <w:r>
              <w:rPr>
                <w:rFonts w:ascii="Times New Roman" w:hAnsi="宋体"/>
                <w:bCs/>
                <w:iCs/>
                <w:color w:val="000000"/>
                <w:szCs w:val="21"/>
              </w:rPr>
              <w:t>钟辉先生</w:t>
            </w:r>
          </w:p>
          <w:p>
            <w:pPr>
              <w:spacing w:line="460" w:lineRule="exact"/>
              <w:rPr>
                <w:rFonts w:cs="Times New Roman" w:asciiTheme="minorEastAsia" w:hAnsiTheme="minorEastAsia"/>
                <w:bCs/>
                <w:iCs/>
                <w:color w:val="000000"/>
                <w:szCs w:val="21"/>
              </w:rPr>
            </w:pPr>
            <w:r>
              <w:rPr>
                <w:rFonts w:hint="eastAsia" w:ascii="Times New Roman" w:hAnsi="宋体"/>
                <w:bCs/>
                <w:iCs/>
                <w:color w:val="000000"/>
                <w:szCs w:val="21"/>
              </w:rPr>
              <w:t>证券事务代表：杨晓芬女士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2" w:hRule="atLeast"/>
          <w:jc w:val="center"/>
        </w:trPr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cs="Times New Roman" w:asciiTheme="minorEastAsia" w:hAnsiTheme="minorEastAsia"/>
                <w:bCs/>
                <w:iCs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bCs/>
                <w:iCs/>
                <w:color w:val="000000"/>
                <w:szCs w:val="21"/>
              </w:rPr>
              <w:t>投资者关系活动主要内容介绍</w:t>
            </w:r>
          </w:p>
          <w:p>
            <w:pPr>
              <w:spacing w:line="460" w:lineRule="exact"/>
              <w:jc w:val="center"/>
              <w:rPr>
                <w:rFonts w:cs="Times New Roman" w:asciiTheme="minorEastAsia" w:hAnsiTheme="minorEastAsia"/>
                <w:bCs/>
                <w:iCs/>
                <w:color w:val="000000"/>
                <w:szCs w:val="21"/>
              </w:rPr>
            </w:pPr>
          </w:p>
        </w:tc>
        <w:tc>
          <w:tcPr>
            <w:tcW w:w="6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50" w:line="360" w:lineRule="auto"/>
              <w:ind w:firstLine="413" w:firstLineChars="196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iCs/>
                <w:color w:val="000000"/>
                <w:szCs w:val="21"/>
              </w:rPr>
              <w:t>Q1：公司近期公告的京东方OLED设备订单主要是哪些产品？</w:t>
            </w:r>
          </w:p>
          <w:p>
            <w:pPr>
              <w:wordWrap w:val="0"/>
              <w:spacing w:line="360" w:lineRule="auto"/>
              <w:ind w:firstLine="422" w:firstLineChars="200"/>
              <w:rPr>
                <w:rFonts w:asciiTheme="minorEastAsia" w:hAnsiTheme="minorEastAsia" w:cstheme="minorEastAsia"/>
                <w:color w:val="333333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iCs/>
                <w:color w:val="000000"/>
                <w:szCs w:val="21"/>
              </w:rPr>
              <w:t>A1</w:t>
            </w:r>
            <w:r>
              <w:rPr>
                <w:rFonts w:hint="eastAsia" w:asciiTheme="minorEastAsia" w:hAnsiTheme="minorEastAsia" w:cstheme="minorEastAsia"/>
                <w:bCs/>
                <w:iCs/>
                <w:color w:val="000000"/>
                <w:szCs w:val="21"/>
              </w:rPr>
              <w:t>：</w:t>
            </w:r>
            <w:r>
              <w:rPr>
                <w:rFonts w:hint="eastAsia" w:asciiTheme="minorEastAsia" w:hAnsiTheme="minorEastAsia" w:cstheme="minorEastAsia"/>
                <w:color w:val="333333"/>
                <w:kern w:val="0"/>
                <w:szCs w:val="21"/>
              </w:rPr>
              <w:t xml:space="preserve">公告的京东方OLED设备订单中主要包括Polarizer Attaching Machine偏光片贴片机、OCA Lamination Inline 固态光学胶贴合机，以及3D </w:t>
            </w:r>
            <w:r>
              <w:rPr>
                <w:rFonts w:hint="eastAsia" w:asciiTheme="minorEastAsia" w:hAnsiTheme="minorEastAsia" w:cstheme="minorEastAsia"/>
                <w:szCs w:val="21"/>
              </w:rPr>
              <w:t>Lamination等设备。</w:t>
            </w:r>
          </w:p>
          <w:p>
            <w:pPr>
              <w:spacing w:line="360" w:lineRule="auto"/>
              <w:ind w:firstLine="422" w:firstLineChars="200"/>
              <w:rPr>
                <w:rFonts w:asciiTheme="minorEastAsia" w:hAnsiTheme="minorEastAsia" w:cstheme="minorEastAsia"/>
                <w:b/>
                <w:bCs/>
                <w:iCs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iCs/>
                <w:color w:val="000000"/>
                <w:szCs w:val="21"/>
              </w:rPr>
              <w:t>Q2：公司2019年获得京东方大额订单的主要原因？</w:t>
            </w:r>
          </w:p>
          <w:p>
            <w:pPr>
              <w:spacing w:line="360" w:lineRule="auto"/>
              <w:ind w:firstLine="422" w:firstLineChars="200"/>
              <w:rPr>
                <w:rFonts w:asciiTheme="minorEastAsia" w:hAnsiTheme="minorEastAsia" w:cstheme="minorEastAsia"/>
                <w:bCs/>
                <w:iCs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iCs/>
                <w:color w:val="000000"/>
                <w:szCs w:val="21"/>
              </w:rPr>
              <w:t>A2：</w:t>
            </w:r>
            <w:r>
              <w:rPr>
                <w:rFonts w:hint="eastAsia" w:asciiTheme="minorEastAsia" w:hAnsiTheme="minorEastAsia" w:cstheme="minorEastAsia"/>
                <w:iCs/>
                <w:color w:val="000000"/>
                <w:szCs w:val="21"/>
              </w:rPr>
              <w:t>我们在2019年取得京东方集团的订单及合同近3.4亿人民币，</w:t>
            </w:r>
            <w:r>
              <w:rPr>
                <w:rFonts w:hint="eastAsia" w:asciiTheme="minorEastAsia" w:hAnsiTheme="minorEastAsia" w:cstheme="minorEastAsia"/>
                <w:bCs/>
                <w:iCs/>
                <w:color w:val="000000"/>
                <w:szCs w:val="21"/>
              </w:rPr>
              <w:t>主要是因为前期在研发投入方面得到相应的技术产出，同时将原有的技术储备转化成订单的现象。基于此，我们在未来年度的研发投入还是呈持续增长的态势。</w:t>
            </w:r>
          </w:p>
          <w:p>
            <w:pPr>
              <w:spacing w:line="460" w:lineRule="exact"/>
              <w:ind w:firstLine="422" w:firstLineChars="200"/>
              <w:rPr>
                <w:rFonts w:asciiTheme="minorEastAsia" w:hAnsiTheme="minorEastAsia" w:cstheme="minorEastAsia"/>
                <w:b/>
                <w:bCs/>
                <w:iCs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iCs/>
                <w:color w:val="000000"/>
                <w:szCs w:val="21"/>
              </w:rPr>
              <w:t>Q3：公司成为德国大陆集团的供应商的情况介绍？</w:t>
            </w:r>
          </w:p>
          <w:p>
            <w:pPr>
              <w:spacing w:line="360" w:lineRule="auto"/>
              <w:ind w:firstLine="422" w:firstLineChars="200"/>
              <w:rPr>
                <w:rFonts w:asciiTheme="minorEastAsia" w:hAnsiTheme="minorEastAsia" w:cstheme="minorEastAsia"/>
                <w:b/>
                <w:bCs/>
                <w:iCs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iCs/>
                <w:color w:val="000000"/>
                <w:szCs w:val="21"/>
              </w:rPr>
              <w:t>A3</w:t>
            </w:r>
            <w:r>
              <w:rPr>
                <w:rFonts w:hint="eastAsia" w:asciiTheme="minorEastAsia" w:hAnsiTheme="minorEastAsia" w:cstheme="minorEastAsia"/>
                <w:bCs/>
                <w:iCs/>
                <w:color w:val="000000"/>
                <w:szCs w:val="21"/>
              </w:rPr>
              <w:t>：德国大陆集团作为全球500强企业，我们非常荣幸成为他们的全球供应商，并且于2019年签订了7千多万的订单。目前，我们与大陆集团捷克公司、罗马尼亚公司以及中国芜湖公司签订了订单。</w:t>
            </w:r>
          </w:p>
          <w:p>
            <w:pPr>
              <w:spacing w:line="360" w:lineRule="auto"/>
              <w:ind w:firstLine="422" w:firstLineChars="200"/>
              <w:rPr>
                <w:rFonts w:asciiTheme="minorEastAsia" w:hAnsiTheme="minorEastAsia" w:cstheme="minorEastAsia"/>
                <w:b/>
                <w:bCs/>
                <w:iCs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iCs/>
                <w:color w:val="000000"/>
                <w:szCs w:val="21"/>
              </w:rPr>
              <w:t>Q4：公司为德国大陆集团提供哪些产品？</w:t>
            </w:r>
          </w:p>
          <w:p>
            <w:pPr>
              <w:spacing w:line="360" w:lineRule="auto"/>
              <w:ind w:firstLine="422" w:firstLineChars="200"/>
              <w:rPr>
                <w:rFonts w:asciiTheme="minorEastAsia" w:hAnsiTheme="minorEastAsia" w:cstheme="minorEastAsia"/>
                <w:iCs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iCs/>
                <w:color w:val="000000"/>
                <w:szCs w:val="21"/>
              </w:rPr>
              <w:t>A4：</w:t>
            </w:r>
            <w:r>
              <w:rPr>
                <w:rFonts w:hint="eastAsia" w:asciiTheme="minorEastAsia" w:hAnsiTheme="minorEastAsia" w:cstheme="minorEastAsia"/>
                <w:iCs/>
                <w:color w:val="000000"/>
                <w:szCs w:val="21"/>
              </w:rPr>
              <w:t>我们为大陆集团提供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Daimler MRA2-Backlight Line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FPK MEDIUM backlight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BMW AZV DryBonding Line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AUDI VPE/PPE -backlight assembly line</w:t>
            </w:r>
            <w:r>
              <w:rPr>
                <w:rFonts w:hint="eastAsia" w:asciiTheme="minorEastAsia" w:hAnsiTheme="minorEastAsia" w:cstheme="minorEastAsia"/>
                <w:iCs/>
                <w:color w:val="000000"/>
                <w:szCs w:val="21"/>
              </w:rPr>
              <w:t>等产品设备，同时为满足客户的售后需求及进一步开拓欧洲市场，未来将在德国设立服务中心响应客户需求。</w:t>
            </w:r>
          </w:p>
          <w:p>
            <w:pPr>
              <w:spacing w:line="460" w:lineRule="exact"/>
              <w:ind w:firstLine="422" w:firstLineChars="200"/>
              <w:rPr>
                <w:rFonts w:asciiTheme="minorEastAsia" w:hAnsiTheme="minorEastAsia" w:cstheme="minorEastAsia"/>
                <w:b/>
                <w:bCs/>
                <w:iCs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iCs/>
                <w:color w:val="000000"/>
                <w:szCs w:val="21"/>
              </w:rPr>
              <w:t>Q5：公司半导体事业部进展如何？</w:t>
            </w:r>
          </w:p>
          <w:p>
            <w:pPr>
              <w:spacing w:line="460" w:lineRule="exact"/>
              <w:ind w:firstLine="422" w:firstLineChars="200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iCs/>
                <w:color w:val="000000"/>
                <w:szCs w:val="21"/>
              </w:rPr>
              <w:t>A5</w:t>
            </w:r>
            <w:r>
              <w:rPr>
                <w:rFonts w:hint="eastAsia" w:asciiTheme="minorEastAsia" w:hAnsiTheme="minorEastAsia" w:cstheme="minorEastAsia"/>
                <w:bCs/>
                <w:iCs/>
                <w:color w:val="000000"/>
                <w:szCs w:val="21"/>
              </w:rPr>
              <w:t>：公司</w:t>
            </w:r>
            <w:r>
              <w:rPr>
                <w:rFonts w:hint="eastAsia" w:asciiTheme="minorEastAsia" w:hAnsiTheme="minorEastAsia" w:cstheme="minorEastAsia"/>
                <w:szCs w:val="21"/>
                <w:lang w:val="zh-CN"/>
              </w:rPr>
              <w:t>半导体后道封装设备的技术研发</w:t>
            </w:r>
            <w:r>
              <w:rPr>
                <w:rFonts w:hint="eastAsia" w:asciiTheme="minorEastAsia" w:hAnsiTheme="minorEastAsia" w:cstheme="minorEastAsia"/>
                <w:bCs/>
                <w:iCs/>
                <w:color w:val="000000"/>
                <w:szCs w:val="21"/>
              </w:rPr>
              <w:t>主要由日本研发团队负责。</w:t>
            </w:r>
            <w:r>
              <w:rPr>
                <w:rFonts w:hint="eastAsia" w:asciiTheme="minorEastAsia" w:hAnsiTheme="minorEastAsia" w:cstheme="minorEastAsia"/>
                <w:szCs w:val="21"/>
                <w:lang w:val="zh-CN"/>
              </w:rPr>
              <w:t>目前研发成果已有</w:t>
            </w:r>
            <w:r>
              <w:rPr>
                <w:rFonts w:hint="eastAsia" w:asciiTheme="minorEastAsia" w:hAnsiTheme="minorEastAsia" w:cstheme="minorEastAsia"/>
                <w:szCs w:val="21"/>
              </w:rPr>
              <w:t>半导体倒装设备和SFO光学系统检测机</w:t>
            </w:r>
            <w:r>
              <w:rPr>
                <w:rFonts w:hint="eastAsia" w:asciiTheme="minorEastAsia" w:hAnsiTheme="minorEastAsia" w:cstheme="minorEastAsia"/>
                <w:szCs w:val="21"/>
                <w:lang w:val="zh-CN"/>
              </w:rPr>
              <w:t>设备,前述产品已完成样机调试，设备的精密度都达到量产的标准并得到下游客户的验证。目前上述产品均处于推介阶段，我们相信这些新产品能成为公司未来新的利润增长点之一。</w:t>
            </w:r>
          </w:p>
          <w:p>
            <w:pPr>
              <w:spacing w:line="460" w:lineRule="exact"/>
              <w:ind w:firstLine="422" w:firstLineChars="200"/>
              <w:rPr>
                <w:rFonts w:asciiTheme="minorEastAsia" w:hAnsiTheme="minorEastAsia" w:cstheme="minorEastAsia"/>
                <w:b/>
                <w:bCs/>
                <w:iCs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iCs/>
                <w:color w:val="000000"/>
                <w:szCs w:val="21"/>
              </w:rPr>
              <w:t>Q6：公司AOI检测设备销售情况如何？</w:t>
            </w:r>
          </w:p>
          <w:p>
            <w:pPr>
              <w:spacing w:beforeLines="50" w:line="360" w:lineRule="auto"/>
              <w:ind w:firstLine="422" w:firstLineChars="200"/>
              <w:rPr>
                <w:rFonts w:asciiTheme="minorEastAsia" w:hAnsiTheme="minorEastAsia" w:cstheme="minorEastAsia"/>
                <w:b/>
                <w:bCs/>
                <w:iCs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iCs/>
                <w:color w:val="000000"/>
                <w:szCs w:val="21"/>
              </w:rPr>
              <w:t>A6：</w:t>
            </w:r>
            <w:r>
              <w:rPr>
                <w:rFonts w:hint="eastAsia" w:asciiTheme="minorEastAsia" w:hAnsiTheme="minorEastAsia" w:cstheme="minorEastAsia"/>
                <w:iCs/>
                <w:color w:val="000000"/>
                <w:szCs w:val="21"/>
              </w:rPr>
              <w:t>公司的AOI检测设备目前已有多家企业进行商务洽谈中，包括京东方、南京群志、富士康、华为等企业，未来有望通过AOI压痕检测、API检测等设备产品形成订单,成为公司</w:t>
            </w:r>
            <w:r>
              <w:rPr>
                <w:rFonts w:hint="eastAsia" w:asciiTheme="minorEastAsia" w:hAnsiTheme="minorEastAsia" w:cstheme="minorEastAsia"/>
                <w:szCs w:val="21"/>
                <w:lang w:val="zh-CN"/>
              </w:rPr>
              <w:t>未来新的利润增长点之一。</w:t>
            </w:r>
          </w:p>
          <w:p>
            <w:pPr>
              <w:spacing w:beforeLines="50" w:line="360" w:lineRule="auto"/>
              <w:ind w:firstLine="422" w:firstLineChars="200"/>
              <w:rPr>
                <w:rFonts w:asciiTheme="minorEastAsia" w:hAnsiTheme="minorEastAsia" w:cstheme="minorEastAsia"/>
                <w:b/>
                <w:bCs/>
                <w:iCs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iCs/>
                <w:color w:val="000000"/>
                <w:szCs w:val="21"/>
              </w:rPr>
              <w:t>Q7：2019年公司海</w:t>
            </w:r>
            <w:bookmarkStart w:id="0" w:name="_GoBack"/>
            <w:bookmarkEnd w:id="0"/>
            <w:r>
              <w:rPr>
                <w:rFonts w:hint="eastAsia" w:asciiTheme="minorEastAsia" w:hAnsiTheme="minorEastAsia" w:cstheme="minorEastAsia"/>
                <w:b/>
                <w:bCs/>
                <w:iCs/>
                <w:color w:val="000000"/>
                <w:szCs w:val="21"/>
              </w:rPr>
              <w:t>外市场客户的拓展情况？</w:t>
            </w:r>
          </w:p>
          <w:p>
            <w:pPr>
              <w:spacing w:beforeLines="50" w:line="360" w:lineRule="auto"/>
              <w:ind w:firstLine="422" w:firstLineChars="200"/>
              <w:rPr>
                <w:rFonts w:asciiTheme="minorEastAsia" w:hAnsiTheme="minorEastAsia" w:cstheme="minorEastAsia"/>
                <w:iCs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iCs/>
                <w:color w:val="000000"/>
                <w:szCs w:val="21"/>
              </w:rPr>
              <w:t>A7：</w:t>
            </w:r>
            <w:r>
              <w:rPr>
                <w:rFonts w:hint="eastAsia" w:asciiTheme="minorEastAsia" w:hAnsiTheme="minorEastAsia" w:cstheme="minorEastAsia"/>
                <w:iCs/>
                <w:color w:val="000000"/>
                <w:szCs w:val="21"/>
              </w:rPr>
              <w:t>2019年公司在海外市场客户拓展中取得了不错的进展，客户资源呈增长之势。公司与多家大型集团企业签订销售订单，如德国大陆集团、博世集团、法国泰雷兹集团等。公司突破了现有的市场格局，未来我们存在着无限的商机和可能性，将进入全新的多维度的市场竞争中，使得公司新一阶段的发展激发了活力，公司将有望通过更多的海外客户实现新增订单。</w:t>
            </w:r>
          </w:p>
          <w:p>
            <w:pPr>
              <w:spacing w:beforeLines="50" w:line="360" w:lineRule="auto"/>
              <w:ind w:firstLine="422" w:firstLineChars="200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iCs/>
                <w:color w:val="000000"/>
                <w:szCs w:val="21"/>
              </w:rPr>
              <w:t>Q8：</w:t>
            </w:r>
            <w:r>
              <w:rPr>
                <w:rFonts w:hint="eastAsia" w:asciiTheme="minorEastAsia" w:hAnsiTheme="minorEastAsia" w:cstheme="minorEastAsia"/>
                <w:b/>
                <w:szCs w:val="21"/>
              </w:rPr>
              <w:t>公司未来的发展战略是什么？</w:t>
            </w:r>
            <w:r>
              <w:rPr>
                <w:rFonts w:hint="eastAsia" w:asciiTheme="minorEastAsia" w:hAnsiTheme="minorEastAsia" w:cstheme="minorEastAsia"/>
                <w:b/>
                <w:bCs/>
                <w:iCs/>
                <w:color w:val="000000"/>
                <w:szCs w:val="21"/>
              </w:rPr>
              <w:t xml:space="preserve"> </w:t>
            </w:r>
          </w:p>
          <w:p>
            <w:pPr>
              <w:spacing w:line="360" w:lineRule="auto"/>
              <w:ind w:firstLine="422" w:firstLineChars="200"/>
              <w:rPr>
                <w:rFonts w:ascii="Times New Roman" w:hAnsi="宋体" w:cs="Times New Roman"/>
                <w:szCs w:val="21"/>
                <w:lang w:val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iCs/>
                <w:color w:val="000000"/>
                <w:szCs w:val="21"/>
              </w:rPr>
              <w:t>A8</w:t>
            </w:r>
            <w:r>
              <w:rPr>
                <w:rFonts w:hint="eastAsia" w:asciiTheme="minorEastAsia" w:hAnsiTheme="minorEastAsia" w:cstheme="minorEastAsia"/>
                <w:bCs/>
                <w:iCs/>
                <w:color w:val="000000"/>
                <w:szCs w:val="21"/>
              </w:rPr>
              <w:t>：公司将持续加强在后段模组组装领域的设备研发，积极开拓大尺寸TV设备、OLED平板显示模组组装设备、AOI检测设备市场以及半导体封装设备产品在新兴领域的应用市场，同时抓住进入汽车电子领域的机遇，通过多维度的产品布局，丰富产品种类，完善产品体系，通过内延发展孵化研发技术团队模式，形成稳健持续的发展平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Cs/>
                <w:iCs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bCs/>
                <w:iCs/>
                <w:color w:val="000000"/>
                <w:szCs w:val="21"/>
              </w:rPr>
              <w:t>附件清单（如有）</w:t>
            </w:r>
          </w:p>
        </w:tc>
        <w:tc>
          <w:tcPr>
            <w:tcW w:w="6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inorEastAsia" w:hAnsiTheme="minorEastAsia"/>
                <w:bCs/>
                <w:iCs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bCs/>
                <w:iCs/>
                <w:color w:val="000000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Cs/>
                <w:iCs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bCs/>
                <w:iCs/>
                <w:color w:val="000000"/>
                <w:szCs w:val="21"/>
              </w:rPr>
              <w:t>日期</w:t>
            </w:r>
          </w:p>
        </w:tc>
        <w:tc>
          <w:tcPr>
            <w:tcW w:w="6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rPr>
                <w:rFonts w:ascii="Times New Roman" w:hAnsi="Times New Roman" w:cs="Times New Roman"/>
                <w:bCs/>
                <w:i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Cs w:val="21"/>
              </w:rPr>
              <w:t>20</w:t>
            </w:r>
            <w:r>
              <w:rPr>
                <w:rFonts w:hint="eastAsia" w:ascii="Times New Roman" w:hAnsi="Times New Roman" w:cs="Times New Roman"/>
                <w:bCs/>
                <w:iCs/>
                <w:color w:val="000000"/>
                <w:szCs w:val="21"/>
              </w:rPr>
              <w:t>20-01-15</w:t>
            </w:r>
          </w:p>
        </w:tc>
      </w:tr>
    </w:tbl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/>
      <w:pBdr>
        <w:bottom w:val="single" w:color="auto" w:sz="4" w:space="1"/>
      </w:pBdr>
      <w:spacing w:line="460" w:lineRule="exact"/>
      <w:jc w:val="left"/>
      <w:rPr>
        <w:rFonts w:cs="Times New Roman" w:asciiTheme="minorEastAsia" w:hAnsiTheme="minorEastAsia"/>
        <w:szCs w:val="21"/>
      </w:rPr>
    </w:pPr>
    <w:r>
      <w:rPr>
        <w:rFonts w:hint="eastAsia" w:cs="Times New Roman" w:asciiTheme="minorEastAsia" w:hAnsiTheme="minorEastAsia"/>
        <w:szCs w:val="21"/>
      </w:rPr>
      <w:t>深圳市联得自动化装备股份有限公司                          投资者关系活动记录表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1DBA5153"/>
    <w:rsid w:val="00001D01"/>
    <w:rsid w:val="00055AFC"/>
    <w:rsid w:val="00161790"/>
    <w:rsid w:val="00166EB1"/>
    <w:rsid w:val="00171DA8"/>
    <w:rsid w:val="00175727"/>
    <w:rsid w:val="001C35F8"/>
    <w:rsid w:val="00206FEA"/>
    <w:rsid w:val="002520EF"/>
    <w:rsid w:val="00262D31"/>
    <w:rsid w:val="00274E99"/>
    <w:rsid w:val="002C010A"/>
    <w:rsid w:val="002D2409"/>
    <w:rsid w:val="002F1322"/>
    <w:rsid w:val="003037D7"/>
    <w:rsid w:val="003330CC"/>
    <w:rsid w:val="003B1BD7"/>
    <w:rsid w:val="004174BC"/>
    <w:rsid w:val="00453A25"/>
    <w:rsid w:val="00456A63"/>
    <w:rsid w:val="00481CEE"/>
    <w:rsid w:val="00496E9D"/>
    <w:rsid w:val="004976CE"/>
    <w:rsid w:val="004B67C3"/>
    <w:rsid w:val="004E3B47"/>
    <w:rsid w:val="00516858"/>
    <w:rsid w:val="00530C0C"/>
    <w:rsid w:val="00553F06"/>
    <w:rsid w:val="0057607C"/>
    <w:rsid w:val="00581CA3"/>
    <w:rsid w:val="005C14E4"/>
    <w:rsid w:val="005F1B83"/>
    <w:rsid w:val="005F778C"/>
    <w:rsid w:val="00601FE4"/>
    <w:rsid w:val="0060241B"/>
    <w:rsid w:val="00603368"/>
    <w:rsid w:val="006420E1"/>
    <w:rsid w:val="00644ED9"/>
    <w:rsid w:val="00650948"/>
    <w:rsid w:val="006C524F"/>
    <w:rsid w:val="006C5257"/>
    <w:rsid w:val="0072337D"/>
    <w:rsid w:val="00740121"/>
    <w:rsid w:val="0076784C"/>
    <w:rsid w:val="007A2CE4"/>
    <w:rsid w:val="007B4B07"/>
    <w:rsid w:val="007C069D"/>
    <w:rsid w:val="007D4537"/>
    <w:rsid w:val="007D6EF3"/>
    <w:rsid w:val="007E3172"/>
    <w:rsid w:val="007F3115"/>
    <w:rsid w:val="007F6119"/>
    <w:rsid w:val="00805AD3"/>
    <w:rsid w:val="00822899"/>
    <w:rsid w:val="008232A9"/>
    <w:rsid w:val="0082444F"/>
    <w:rsid w:val="008500B3"/>
    <w:rsid w:val="00853315"/>
    <w:rsid w:val="00883180"/>
    <w:rsid w:val="00886848"/>
    <w:rsid w:val="00893AD2"/>
    <w:rsid w:val="008C4F13"/>
    <w:rsid w:val="00947C96"/>
    <w:rsid w:val="00960670"/>
    <w:rsid w:val="00961454"/>
    <w:rsid w:val="00974CEE"/>
    <w:rsid w:val="00974EDF"/>
    <w:rsid w:val="009B43B5"/>
    <w:rsid w:val="009F6673"/>
    <w:rsid w:val="00A0068E"/>
    <w:rsid w:val="00A32873"/>
    <w:rsid w:val="00A636CE"/>
    <w:rsid w:val="00A71997"/>
    <w:rsid w:val="00A876A6"/>
    <w:rsid w:val="00AE0950"/>
    <w:rsid w:val="00AF090B"/>
    <w:rsid w:val="00B17F9D"/>
    <w:rsid w:val="00B45D78"/>
    <w:rsid w:val="00B50F8D"/>
    <w:rsid w:val="00B63785"/>
    <w:rsid w:val="00B813B7"/>
    <w:rsid w:val="00B826F9"/>
    <w:rsid w:val="00B96768"/>
    <w:rsid w:val="00BA3822"/>
    <w:rsid w:val="00C034D4"/>
    <w:rsid w:val="00CC4B6D"/>
    <w:rsid w:val="00D17116"/>
    <w:rsid w:val="00D350E0"/>
    <w:rsid w:val="00D75776"/>
    <w:rsid w:val="00D92EB5"/>
    <w:rsid w:val="00E00BEC"/>
    <w:rsid w:val="00E3179C"/>
    <w:rsid w:val="00E46C83"/>
    <w:rsid w:val="00E90678"/>
    <w:rsid w:val="00EC0DD3"/>
    <w:rsid w:val="00ED7610"/>
    <w:rsid w:val="00EE070D"/>
    <w:rsid w:val="00EF66DA"/>
    <w:rsid w:val="00F10D60"/>
    <w:rsid w:val="00F1423C"/>
    <w:rsid w:val="00F225CD"/>
    <w:rsid w:val="00F75D69"/>
    <w:rsid w:val="139C14C8"/>
    <w:rsid w:val="1DBA5153"/>
    <w:rsid w:val="34F56B5E"/>
    <w:rsid w:val="46D3663C"/>
    <w:rsid w:val="4AB77C0C"/>
    <w:rsid w:val="4B5F54C1"/>
    <w:rsid w:val="5A584107"/>
    <w:rsid w:val="6D473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7">
    <w:name w:val="FollowedHyperlink"/>
    <w:basedOn w:val="6"/>
    <w:qFormat/>
    <w:uiPriority w:val="0"/>
    <w:rPr>
      <w:color w:val="954F72" w:themeColor="followedHyperlink"/>
      <w:u w:val="single"/>
    </w:rPr>
  </w:style>
  <w:style w:type="character" w:styleId="8">
    <w:name w:val="Hyperlink"/>
    <w:basedOn w:val="6"/>
    <w:unhideWhenUsed/>
    <w:qFormat/>
    <w:uiPriority w:val="99"/>
    <w:rPr>
      <w:color w:val="0000FF"/>
      <w:u w:val="single"/>
    </w:rPr>
  </w:style>
  <w:style w:type="character" w:customStyle="1" w:styleId="9">
    <w:name w:val="批注框文本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3</Pages>
  <Words>247</Words>
  <Characters>1408</Characters>
  <Lines>11</Lines>
  <Paragraphs>3</Paragraphs>
  <TotalTime>0</TotalTime>
  <ScaleCrop>false</ScaleCrop>
  <LinksUpToDate>false</LinksUpToDate>
  <CharactersWithSpaces>1652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2019-11-07T06:24:00Z</dcterms:created>
  <dc:creator>law</dc:creator>
  <cp:lastModifiedBy>yang</cp:lastModifiedBy>
  <dcterms:modified xsi:type="dcterms:W3CDTF">2020-01-15T09:35:22Z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