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w:hAnsi="Times"/>
          <w:sz w:val="24"/>
          <w:szCs w:val="24"/>
        </w:rPr>
      </w:pPr>
      <w:r>
        <w:rPr>
          <w:rFonts w:hint="eastAsia" w:ascii="Times" w:hAnsi="Times"/>
          <w:sz w:val="24"/>
          <w:szCs w:val="24"/>
        </w:rPr>
        <w:t>证券代码：</w:t>
      </w:r>
      <w:r>
        <w:rPr>
          <w:rFonts w:ascii="Times" w:hAnsi="Times"/>
          <w:sz w:val="24"/>
          <w:szCs w:val="24"/>
        </w:rPr>
        <w:t xml:space="preserve">000739                                    </w:t>
      </w:r>
      <w:r>
        <w:rPr>
          <w:rFonts w:hint="eastAsia" w:ascii="Times" w:hAnsi="Times"/>
          <w:sz w:val="24"/>
          <w:szCs w:val="24"/>
        </w:rPr>
        <w:t>证券简称：普洛药业</w:t>
      </w:r>
    </w:p>
    <w:p>
      <w:pPr>
        <w:jc w:val="center"/>
        <w:rPr>
          <w:rFonts w:ascii="Times" w:hAnsi="Times"/>
          <w:b/>
          <w:sz w:val="30"/>
          <w:szCs w:val="30"/>
        </w:rPr>
      </w:pPr>
      <w:r>
        <w:rPr>
          <w:rFonts w:hint="eastAsia" w:ascii="Times" w:hAnsi="Times"/>
          <w:b/>
          <w:sz w:val="30"/>
          <w:szCs w:val="30"/>
        </w:rPr>
        <w:t>普洛药业股份有限公司</w:t>
      </w:r>
    </w:p>
    <w:p>
      <w:pPr>
        <w:jc w:val="center"/>
        <w:rPr>
          <w:rFonts w:ascii="Times" w:hAnsi="Times"/>
          <w:b/>
          <w:sz w:val="30"/>
          <w:szCs w:val="30"/>
        </w:rPr>
      </w:pPr>
      <w:r>
        <w:rPr>
          <w:rFonts w:hint="eastAsia" w:ascii="Times" w:hAnsi="Times"/>
          <w:b/>
          <w:sz w:val="30"/>
          <w:szCs w:val="30"/>
        </w:rPr>
        <w:t>投资者关系活动记录表</w:t>
      </w:r>
    </w:p>
    <w:p>
      <w:pPr>
        <w:ind w:firstLine="6825" w:firstLineChars="3250"/>
        <w:rPr>
          <w:rFonts w:ascii="Times" w:hAnsi="Times"/>
        </w:rPr>
      </w:pPr>
      <w:r>
        <w:rPr>
          <w:rFonts w:hint="eastAsia" w:ascii="Times" w:hAnsi="Times"/>
        </w:rPr>
        <w:t>编号：2020-01</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12" w:lineRule="auto"/>
              <w:rPr>
                <w:rFonts w:ascii="Times" w:hAnsi="Times"/>
                <w:b/>
                <w:bCs/>
                <w:iCs/>
                <w:color w:val="000000"/>
                <w:sz w:val="24"/>
                <w:szCs w:val="24"/>
              </w:rPr>
            </w:pPr>
            <w:r>
              <w:rPr>
                <w:rFonts w:hint="eastAsia" w:ascii="Times" w:hAnsi="Times"/>
                <w:b/>
                <w:bCs/>
                <w:iCs/>
                <w:color w:val="000000"/>
                <w:sz w:val="24"/>
                <w:szCs w:val="24"/>
              </w:rPr>
              <w:t>投资者关系活动类别</w:t>
            </w:r>
          </w:p>
        </w:tc>
        <w:tc>
          <w:tcPr>
            <w:tcW w:w="6614" w:type="dxa"/>
            <w:vAlign w:val="center"/>
          </w:tcPr>
          <w:p>
            <w:pPr>
              <w:spacing w:line="312" w:lineRule="auto"/>
              <w:rPr>
                <w:rFonts w:ascii="Times" w:hAnsi="Times"/>
                <w:sz w:val="24"/>
                <w:szCs w:val="24"/>
              </w:rPr>
            </w:pPr>
            <w:r>
              <w:rPr>
                <w:rFonts w:hint="eastAsia"/>
                <w:sz w:val="24"/>
                <w:szCs w:val="24"/>
              </w:rPr>
              <w:sym w:font="Wingdings 2" w:char="0052"/>
            </w:r>
            <w:r>
              <w:rPr>
                <w:rFonts w:hint="eastAsia"/>
                <w:sz w:val="24"/>
                <w:szCs w:val="24"/>
              </w:rPr>
              <w:t>特定对象调研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08" w:type="dxa"/>
            <w:vAlign w:val="center"/>
          </w:tcPr>
          <w:p>
            <w:pPr>
              <w:spacing w:line="312" w:lineRule="auto"/>
              <w:rPr>
                <w:rFonts w:ascii="Times" w:hAnsi="Times"/>
                <w:b/>
                <w:bCs/>
                <w:iCs/>
                <w:color w:val="000000"/>
                <w:sz w:val="24"/>
                <w:szCs w:val="24"/>
              </w:rPr>
            </w:pPr>
            <w:r>
              <w:rPr>
                <w:rFonts w:hint="eastAsia" w:ascii="Times" w:hAnsi="Times"/>
                <w:b/>
                <w:bCs/>
                <w:iCs/>
                <w:color w:val="000000"/>
                <w:sz w:val="24"/>
                <w:szCs w:val="24"/>
              </w:rPr>
              <w:t>参与单位名称及人员姓名</w:t>
            </w:r>
          </w:p>
        </w:tc>
        <w:tc>
          <w:tcPr>
            <w:tcW w:w="6614" w:type="dxa"/>
            <w:vAlign w:val="center"/>
          </w:tcPr>
          <w:p>
            <w:pPr>
              <w:rPr>
                <w:rFonts w:ascii="Times" w:hAnsi="Times"/>
                <w:bCs/>
                <w:iCs/>
                <w:color w:val="000000"/>
                <w:szCs w:val="21"/>
              </w:rPr>
            </w:pPr>
            <w:r>
              <w:rPr>
                <w:rFonts w:hint="eastAsia" w:ascii="宋体" w:hAnsi="宋体" w:cs="宋体"/>
                <w:sz w:val="24"/>
                <w:szCs w:val="24"/>
              </w:rPr>
              <w:t>国金证券（朱明睿）；川财证券（周豫）；东兴证券（许睿）；上海茂典资产（董阳）；深圳望正资产（高敏）；杭州睿银投资（许磊）；上海沣杨资产（张秀磊）；东方红资管（刘中群）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08" w:type="dxa"/>
            <w:vAlign w:val="center"/>
          </w:tcPr>
          <w:p>
            <w:pPr>
              <w:spacing w:line="312" w:lineRule="auto"/>
              <w:rPr>
                <w:rFonts w:ascii="Times" w:hAnsi="Times"/>
                <w:b/>
                <w:bCs/>
                <w:iCs/>
                <w:color w:val="000000"/>
                <w:sz w:val="24"/>
                <w:szCs w:val="24"/>
              </w:rPr>
            </w:pPr>
            <w:r>
              <w:rPr>
                <w:rFonts w:hint="eastAsia" w:ascii="Times" w:hAnsi="Times"/>
                <w:b/>
                <w:bCs/>
                <w:iCs/>
                <w:color w:val="000000"/>
                <w:sz w:val="24"/>
                <w:szCs w:val="24"/>
              </w:rPr>
              <w:t>时间</w:t>
            </w:r>
          </w:p>
        </w:tc>
        <w:tc>
          <w:tcPr>
            <w:tcW w:w="6614" w:type="dxa"/>
            <w:vAlign w:val="center"/>
          </w:tcPr>
          <w:p>
            <w:pPr>
              <w:spacing w:line="312" w:lineRule="auto"/>
              <w:rPr>
                <w:rFonts w:ascii="Times" w:hAnsi="Times"/>
                <w:bCs/>
                <w:iCs/>
                <w:color w:val="000000"/>
                <w:szCs w:val="21"/>
              </w:rPr>
            </w:pPr>
            <w:r>
              <w:rPr>
                <w:rFonts w:hint="eastAsia" w:ascii="宋体" w:hAnsi="宋体" w:cs="宋体"/>
                <w:sz w:val="24"/>
                <w:szCs w:val="24"/>
              </w:rPr>
              <w:t>2020年1月15日14:30-15:30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8" w:type="dxa"/>
            <w:vAlign w:val="center"/>
          </w:tcPr>
          <w:p>
            <w:pPr>
              <w:spacing w:line="312" w:lineRule="auto"/>
              <w:rPr>
                <w:rFonts w:ascii="Times" w:hAnsi="Times"/>
                <w:b/>
                <w:bCs/>
                <w:iCs/>
                <w:color w:val="000000"/>
                <w:sz w:val="24"/>
                <w:szCs w:val="24"/>
              </w:rPr>
            </w:pPr>
            <w:r>
              <w:rPr>
                <w:rFonts w:hint="eastAsia" w:ascii="Times" w:hAnsi="Times"/>
                <w:b/>
                <w:bCs/>
                <w:iCs/>
                <w:color w:val="000000"/>
                <w:sz w:val="24"/>
                <w:szCs w:val="24"/>
              </w:rPr>
              <w:t>地点</w:t>
            </w:r>
          </w:p>
        </w:tc>
        <w:tc>
          <w:tcPr>
            <w:tcW w:w="6614" w:type="dxa"/>
            <w:vAlign w:val="center"/>
          </w:tcPr>
          <w:p>
            <w:pPr>
              <w:spacing w:line="312" w:lineRule="auto"/>
              <w:rPr>
                <w:rFonts w:ascii="Times" w:hAnsi="Times"/>
                <w:bCs/>
                <w:iCs/>
                <w:color w:val="000000"/>
                <w:szCs w:val="21"/>
              </w:rPr>
            </w:pPr>
            <w:r>
              <w:rPr>
                <w:rFonts w:hint="eastAsia" w:ascii="Times" w:hAnsi="Times"/>
                <w:bCs/>
                <w:iCs/>
                <w:color w:val="000000"/>
                <w:sz w:val="24"/>
                <w:szCs w:val="24"/>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12" w:lineRule="auto"/>
              <w:rPr>
                <w:rFonts w:ascii="Times" w:hAnsi="Times"/>
                <w:b/>
                <w:bCs/>
                <w:iCs/>
                <w:color w:val="000000"/>
                <w:sz w:val="24"/>
                <w:szCs w:val="24"/>
              </w:rPr>
            </w:pPr>
            <w:r>
              <w:rPr>
                <w:rFonts w:hint="eastAsia" w:ascii="Times" w:hAnsi="Times"/>
                <w:b/>
                <w:bCs/>
                <w:iCs/>
                <w:color w:val="000000"/>
                <w:sz w:val="24"/>
                <w:szCs w:val="24"/>
              </w:rPr>
              <w:t>上市公司接待人员姓名</w:t>
            </w:r>
          </w:p>
        </w:tc>
        <w:tc>
          <w:tcPr>
            <w:tcW w:w="6614" w:type="dxa"/>
            <w:vAlign w:val="center"/>
          </w:tcPr>
          <w:p>
            <w:pPr>
              <w:spacing w:line="312" w:lineRule="auto"/>
              <w:rPr>
                <w:rFonts w:ascii="Times" w:hAnsi="Times"/>
                <w:bCs/>
                <w:iCs/>
                <w:color w:val="000000"/>
                <w:sz w:val="24"/>
                <w:szCs w:val="24"/>
              </w:rPr>
            </w:pPr>
            <w:r>
              <w:rPr>
                <w:rFonts w:hint="eastAsia" w:ascii="Times" w:hAnsi="Times"/>
                <w:bCs/>
                <w:iCs/>
                <w:color w:val="000000"/>
                <w:sz w:val="24"/>
                <w:szCs w:val="24"/>
              </w:rPr>
              <w:t>董事会秘书、副总经理周玉旺先生</w:t>
            </w:r>
          </w:p>
          <w:p>
            <w:pPr>
              <w:spacing w:line="312" w:lineRule="auto"/>
              <w:rPr>
                <w:rFonts w:ascii="Times" w:hAnsi="Times"/>
                <w:bCs/>
                <w:iCs/>
                <w:color w:val="000000"/>
                <w:szCs w:val="21"/>
              </w:rPr>
            </w:pPr>
            <w:r>
              <w:rPr>
                <w:rFonts w:hint="eastAsia" w:ascii="Times" w:hAnsi="Times"/>
                <w:bCs/>
                <w:iCs/>
                <w:color w:val="000000"/>
                <w:sz w:val="24"/>
                <w:szCs w:val="24"/>
              </w:rPr>
              <w:t>证券事务代表 楼云娜女士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08" w:type="dxa"/>
            <w:vAlign w:val="center"/>
          </w:tcPr>
          <w:p>
            <w:pPr>
              <w:spacing w:line="312" w:lineRule="auto"/>
              <w:rPr>
                <w:rFonts w:ascii="Times" w:hAnsi="Times"/>
                <w:b/>
                <w:bCs/>
                <w:iCs/>
                <w:color w:val="000000"/>
                <w:sz w:val="24"/>
                <w:szCs w:val="24"/>
              </w:rPr>
            </w:pPr>
            <w:r>
              <w:rPr>
                <w:rFonts w:hint="eastAsia" w:ascii="Times" w:hAnsi="Times"/>
                <w:b/>
                <w:bCs/>
                <w:iCs/>
                <w:color w:val="000000"/>
                <w:sz w:val="24"/>
                <w:szCs w:val="24"/>
              </w:rPr>
              <w:t>投资者关系活动主要内容介绍</w:t>
            </w:r>
          </w:p>
          <w:p>
            <w:pPr>
              <w:spacing w:line="312" w:lineRule="auto"/>
              <w:rPr>
                <w:rFonts w:ascii="Times" w:hAnsi="Times"/>
                <w:b/>
                <w:bCs/>
                <w:iCs/>
                <w:color w:val="000000"/>
                <w:sz w:val="24"/>
                <w:szCs w:val="24"/>
              </w:rPr>
            </w:pPr>
          </w:p>
        </w:tc>
        <w:tc>
          <w:tcPr>
            <w:tcW w:w="6614" w:type="dxa"/>
          </w:tcPr>
          <w:p>
            <w:pPr>
              <w:ind w:firstLine="480" w:firstLineChars="200"/>
              <w:rPr>
                <w:rFonts w:ascii="宋体" w:hAnsi="宋体" w:cs="宋体"/>
                <w:color w:val="auto"/>
                <w:sz w:val="24"/>
                <w:szCs w:val="24"/>
              </w:rPr>
            </w:pPr>
            <w:r>
              <w:rPr>
                <w:rFonts w:hint="eastAsia" w:ascii="宋体" w:hAnsi="宋体" w:cs="宋体"/>
                <w:color w:val="auto"/>
                <w:sz w:val="24"/>
                <w:szCs w:val="24"/>
              </w:rPr>
              <w:t>首先向投资者简要介绍了公司的业务情况，并就公司生产经营等相关事项进行了沟通与交流，主要内容如下：</w:t>
            </w:r>
          </w:p>
          <w:p>
            <w:pPr>
              <w:ind w:firstLine="480" w:firstLineChars="200"/>
              <w:rPr>
                <w:rFonts w:ascii="宋体" w:hAnsi="宋体" w:cs="宋体"/>
                <w:color w:val="auto"/>
                <w:sz w:val="24"/>
                <w:szCs w:val="24"/>
              </w:rPr>
            </w:pPr>
            <w:r>
              <w:rPr>
                <w:rFonts w:hint="eastAsia" w:ascii="宋体" w:hAnsi="宋体" w:cs="宋体"/>
                <w:color w:val="auto"/>
                <w:sz w:val="24"/>
                <w:szCs w:val="24"/>
              </w:rPr>
              <w:t>1、请问公司未来对生产线的规划如何？</w:t>
            </w:r>
          </w:p>
          <w:p>
            <w:pPr>
              <w:ind w:firstLine="480" w:firstLineChars="200"/>
              <w:rPr>
                <w:rFonts w:ascii="宋体" w:hAnsi="宋体" w:cs="宋体"/>
                <w:color w:val="auto"/>
                <w:sz w:val="24"/>
                <w:szCs w:val="24"/>
              </w:rPr>
            </w:pPr>
            <w:r>
              <w:rPr>
                <w:rFonts w:hint="eastAsia" w:ascii="宋体" w:hAnsi="宋体" w:cs="宋体"/>
                <w:color w:val="auto"/>
                <w:sz w:val="24"/>
                <w:szCs w:val="24"/>
              </w:rPr>
              <w:t>答：公司目前在不影响正常生产的情况下对部分产能紧张的生产线进行技改扩产，未来也有计划在横店建设一个CDMO标准化车间和四个原料药车间，预计投入在4-5个亿左右。</w:t>
            </w:r>
          </w:p>
          <w:p>
            <w:pPr>
              <w:ind w:firstLine="480" w:firstLineChars="200"/>
              <w:rPr>
                <w:rFonts w:ascii="宋体" w:hAnsi="宋体" w:cs="宋体"/>
                <w:color w:val="auto"/>
                <w:sz w:val="24"/>
                <w:szCs w:val="24"/>
              </w:rPr>
            </w:pPr>
            <w:r>
              <w:rPr>
                <w:rFonts w:hint="eastAsia" w:ascii="宋体" w:hAnsi="宋体" w:cs="宋体"/>
                <w:color w:val="auto"/>
                <w:sz w:val="24"/>
                <w:szCs w:val="24"/>
              </w:rPr>
              <w:t>2、请问安徽普洛目前的生产状况？</w:t>
            </w:r>
          </w:p>
          <w:p>
            <w:pPr>
              <w:ind w:firstLine="480" w:firstLineChars="200"/>
              <w:rPr>
                <w:rFonts w:ascii="宋体" w:hAnsi="宋体" w:cs="宋体"/>
                <w:color w:val="auto"/>
                <w:sz w:val="24"/>
                <w:szCs w:val="24"/>
              </w:rPr>
            </w:pPr>
            <w:r>
              <w:rPr>
                <w:rFonts w:hint="eastAsia" w:ascii="宋体" w:hAnsi="宋体" w:cs="宋体"/>
                <w:color w:val="auto"/>
                <w:sz w:val="24"/>
                <w:szCs w:val="24"/>
              </w:rPr>
              <w:t>答：安徽普洛目前有两条生产线在生产，一个是CDMO产品，一个是公司自有产品。CDMO项目目前已经开始部分供货，明年会开始大规模供应。公司正在与当地政府部门沟通，计划争取投入新的项目，以实现盈利的目的。</w:t>
            </w:r>
          </w:p>
          <w:p>
            <w:pPr>
              <w:ind w:firstLine="480" w:firstLineChars="200"/>
              <w:rPr>
                <w:rFonts w:ascii="宋体" w:hAnsi="宋体" w:cs="宋体"/>
                <w:color w:val="auto"/>
                <w:sz w:val="24"/>
                <w:szCs w:val="24"/>
              </w:rPr>
            </w:pPr>
            <w:r>
              <w:rPr>
                <w:rFonts w:hint="eastAsia" w:ascii="宋体" w:hAnsi="宋体" w:cs="宋体"/>
                <w:color w:val="auto"/>
                <w:sz w:val="24"/>
                <w:szCs w:val="24"/>
              </w:rPr>
              <w:t>3、请问公司CDMO项目兽药和人用药占的比重？</w:t>
            </w:r>
          </w:p>
          <w:p>
            <w:pPr>
              <w:ind w:firstLine="480" w:firstLineChars="200"/>
              <w:rPr>
                <w:rFonts w:ascii="宋体" w:hAnsi="宋体" w:cs="宋体"/>
                <w:color w:val="auto"/>
                <w:sz w:val="24"/>
                <w:szCs w:val="24"/>
              </w:rPr>
            </w:pPr>
            <w:r>
              <w:rPr>
                <w:rFonts w:hint="eastAsia" w:ascii="宋体" w:hAnsi="宋体" w:cs="宋体"/>
                <w:color w:val="auto"/>
                <w:sz w:val="24"/>
                <w:szCs w:val="24"/>
              </w:rPr>
              <w:t>答：公司CDMO业务中兽药也是未来的发展方向，目前，兽药占比约40%多，明年预计将达到50%以上。兽药相比于人用药没有专利期，生命周期更长。2019年猪瘟对兽药有一定影响，但是时间不会太长，预计下半年需求量将会上升，逐步好转。</w:t>
            </w:r>
          </w:p>
          <w:p>
            <w:pPr>
              <w:ind w:firstLine="480" w:firstLineChars="200"/>
              <w:rPr>
                <w:rFonts w:ascii="宋体" w:hAnsi="宋体" w:cs="宋体"/>
                <w:color w:val="auto"/>
                <w:sz w:val="24"/>
                <w:szCs w:val="24"/>
              </w:rPr>
            </w:pPr>
            <w:r>
              <w:rPr>
                <w:rFonts w:hint="eastAsia" w:ascii="宋体" w:hAnsi="宋体" w:cs="宋体"/>
                <w:color w:val="auto"/>
                <w:sz w:val="24"/>
                <w:szCs w:val="24"/>
              </w:rPr>
              <w:t>4、请问汇率变动对公司的影响？</w:t>
            </w:r>
          </w:p>
          <w:p>
            <w:pPr>
              <w:ind w:firstLine="480" w:firstLineChars="200"/>
              <w:rPr>
                <w:rFonts w:ascii="宋体" w:hAnsi="宋体" w:cs="宋体"/>
                <w:color w:val="auto"/>
                <w:sz w:val="24"/>
                <w:szCs w:val="24"/>
              </w:rPr>
            </w:pPr>
            <w:r>
              <w:rPr>
                <w:rFonts w:hint="eastAsia" w:ascii="宋体" w:hAnsi="宋体" w:cs="宋体"/>
                <w:color w:val="auto"/>
                <w:sz w:val="24"/>
                <w:szCs w:val="24"/>
              </w:rPr>
              <w:t>答：考虑到汇率风险，公司每年都会进行部分锁汇，2019年锁汇比例比2018年多一些，预计公司2019年整体汇兑收益低于2018年。</w:t>
            </w:r>
          </w:p>
          <w:p>
            <w:pPr>
              <w:ind w:firstLine="480" w:firstLineChars="200"/>
              <w:rPr>
                <w:rFonts w:ascii="宋体" w:hAnsi="宋体" w:cs="宋体"/>
                <w:color w:val="auto"/>
                <w:sz w:val="24"/>
                <w:szCs w:val="24"/>
              </w:rPr>
            </w:pPr>
            <w:r>
              <w:rPr>
                <w:rFonts w:hint="eastAsia" w:ascii="宋体" w:hAnsi="宋体" w:cs="宋体"/>
                <w:color w:val="auto"/>
                <w:sz w:val="24"/>
                <w:szCs w:val="24"/>
              </w:rPr>
              <w:t>5、请问公司CDMO毛利率情况？</w:t>
            </w:r>
          </w:p>
          <w:p>
            <w:pPr>
              <w:ind w:firstLine="480" w:firstLineChars="200"/>
              <w:rPr>
                <w:rFonts w:ascii="宋体" w:hAnsi="宋体" w:cs="宋体"/>
                <w:color w:val="auto"/>
                <w:sz w:val="24"/>
                <w:szCs w:val="24"/>
              </w:rPr>
            </w:pPr>
            <w:r>
              <w:rPr>
                <w:rFonts w:hint="eastAsia" w:ascii="宋体" w:hAnsi="宋体" w:cs="宋体"/>
                <w:color w:val="auto"/>
                <w:sz w:val="24"/>
                <w:szCs w:val="24"/>
              </w:rPr>
              <w:t>答：公司CDMO业务之前未做拆分，公司计划在2019年年报中进行单独拆分披露。2019年半年报开始，公司对国外业务毛利率统计口径进行了重新调整，原来只对出口销售环节的毛利进行统计，现在从生产环节到出口销售环节的毛利都加在一起计算。</w:t>
            </w:r>
          </w:p>
          <w:p>
            <w:pPr>
              <w:numPr>
                <w:ilvl w:val="0"/>
                <w:numId w:val="1"/>
              </w:numPr>
              <w:ind w:firstLine="480" w:firstLineChars="200"/>
              <w:rPr>
                <w:rFonts w:ascii="宋体" w:hAnsi="宋体" w:cs="宋体"/>
                <w:color w:val="auto"/>
                <w:sz w:val="24"/>
                <w:szCs w:val="24"/>
              </w:rPr>
            </w:pPr>
            <w:r>
              <w:rPr>
                <w:rFonts w:hint="eastAsia" w:ascii="宋体" w:hAnsi="宋体" w:cs="宋体"/>
                <w:color w:val="auto"/>
                <w:sz w:val="24"/>
                <w:szCs w:val="24"/>
              </w:rPr>
              <w:t>请问公司ANDA项目进展情况？</w:t>
            </w:r>
          </w:p>
          <w:p>
            <w:pPr>
              <w:ind w:firstLine="480" w:firstLineChars="200"/>
              <w:rPr>
                <w:rFonts w:ascii="宋体" w:hAnsi="宋体" w:cs="宋体"/>
                <w:color w:val="auto"/>
                <w:sz w:val="24"/>
                <w:szCs w:val="24"/>
              </w:rPr>
            </w:pPr>
            <w:r>
              <w:rPr>
                <w:rFonts w:hint="eastAsia" w:ascii="宋体" w:hAnsi="宋体" w:cs="宋体"/>
                <w:color w:val="auto"/>
                <w:sz w:val="24"/>
                <w:szCs w:val="24"/>
              </w:rPr>
              <w:t>答：2019年公司第一个ANDA项目已经获批，2020年会少量供货，生产往国内转移需要时间过程，预计2021年下半年或2022年上半年会批量供货。另外一个缓控释项目也会尽快申报。</w:t>
            </w:r>
            <w:bookmarkStart w:id="0" w:name="_GoBack"/>
            <w:bookmarkEnd w:id="0"/>
          </w:p>
          <w:p>
            <w:pPr>
              <w:ind w:firstLine="480" w:firstLineChars="200"/>
              <w:rPr>
                <w:rFonts w:ascii="宋体" w:hAnsi="宋体" w:cs="宋体"/>
                <w:color w:val="auto"/>
                <w:sz w:val="24"/>
                <w:szCs w:val="24"/>
              </w:rPr>
            </w:pPr>
            <w:r>
              <w:rPr>
                <w:rFonts w:hint="eastAsia" w:ascii="宋体" w:hAnsi="宋体" w:cs="宋体"/>
                <w:color w:val="auto"/>
                <w:sz w:val="24"/>
                <w:szCs w:val="24"/>
              </w:rPr>
              <w:t>7、国家集中带量采购使仿制药的价格大幅下降，会不会传导到上游原料药的价格？</w:t>
            </w:r>
          </w:p>
          <w:p>
            <w:pPr>
              <w:ind w:firstLine="480" w:firstLineChars="200"/>
              <w:rPr>
                <w:rFonts w:ascii="宋体" w:hAnsi="宋体" w:cs="宋体"/>
                <w:sz w:val="24"/>
                <w:szCs w:val="24"/>
              </w:rPr>
            </w:pPr>
            <w:r>
              <w:rPr>
                <w:rFonts w:hint="eastAsia" w:ascii="宋体" w:hAnsi="宋体" w:cs="宋体"/>
                <w:color w:val="auto"/>
                <w:sz w:val="24"/>
                <w:szCs w:val="24"/>
              </w:rPr>
              <w:t>答：2019年国家推行集中带量采购，仿制药的生态环境发生了较大的变化，使许多仿制药的价格大幅下降，仿制药的高毛利率时代已结束。但仿制药的降价会不会传导到上游，要看原料药的市场地位、供求关系和竞争状况等方面，对于质量稳定、市场占有率高、供应偏紧、技术含量高的原料药影响会很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08" w:type="dxa"/>
            <w:vAlign w:val="center"/>
          </w:tcPr>
          <w:p>
            <w:pPr>
              <w:spacing w:line="312" w:lineRule="auto"/>
              <w:rPr>
                <w:rFonts w:ascii="Times" w:hAnsi="Times"/>
                <w:b/>
                <w:bCs/>
                <w:iCs/>
                <w:color w:val="000000"/>
                <w:sz w:val="24"/>
                <w:szCs w:val="24"/>
              </w:rPr>
            </w:pPr>
            <w:r>
              <w:rPr>
                <w:rFonts w:hint="eastAsia" w:ascii="Times" w:hAnsi="Times"/>
                <w:b/>
                <w:bCs/>
                <w:iCs/>
                <w:color w:val="000000"/>
                <w:sz w:val="24"/>
                <w:szCs w:val="24"/>
              </w:rPr>
              <w:t>附件清单（如有）</w:t>
            </w:r>
          </w:p>
        </w:tc>
        <w:tc>
          <w:tcPr>
            <w:tcW w:w="6614" w:type="dxa"/>
          </w:tcPr>
          <w:p>
            <w:pPr>
              <w:spacing w:line="312" w:lineRule="auto"/>
              <w:rPr>
                <w:rFonts w:ascii="Times" w:hAnsi="Times"/>
                <w:bCs/>
                <w:iCs/>
                <w:color w:val="000000"/>
                <w:sz w:val="24"/>
                <w:szCs w:val="24"/>
              </w:rPr>
            </w:pPr>
            <w:r>
              <w:rPr>
                <w:rFonts w:hint="eastAsia" w:ascii="Times" w:hAnsi="Times"/>
                <w:bCs/>
                <w:iCs/>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12" w:lineRule="auto"/>
              <w:rPr>
                <w:rFonts w:ascii="Times" w:hAnsi="Times"/>
                <w:b/>
                <w:bCs/>
                <w:iCs/>
                <w:color w:val="000000"/>
                <w:sz w:val="24"/>
                <w:szCs w:val="24"/>
              </w:rPr>
            </w:pPr>
            <w:r>
              <w:rPr>
                <w:rFonts w:hint="eastAsia" w:ascii="Times" w:hAnsi="Times"/>
                <w:b/>
                <w:bCs/>
                <w:iCs/>
                <w:color w:val="000000"/>
                <w:sz w:val="24"/>
                <w:szCs w:val="24"/>
              </w:rPr>
              <w:t>日期</w:t>
            </w:r>
          </w:p>
        </w:tc>
        <w:tc>
          <w:tcPr>
            <w:tcW w:w="6614" w:type="dxa"/>
          </w:tcPr>
          <w:p>
            <w:pPr>
              <w:spacing w:line="312" w:lineRule="auto"/>
              <w:rPr>
                <w:rFonts w:ascii="Times" w:hAnsi="Times"/>
                <w:bCs/>
                <w:iCs/>
                <w:color w:val="000000"/>
                <w:sz w:val="24"/>
                <w:szCs w:val="24"/>
              </w:rPr>
            </w:pPr>
            <w:r>
              <w:rPr>
                <w:rFonts w:ascii="Times" w:hAnsi="Times"/>
                <w:bCs/>
                <w:iCs/>
                <w:color w:val="000000"/>
                <w:sz w:val="24"/>
                <w:szCs w:val="24"/>
              </w:rPr>
              <w:t>20</w:t>
            </w:r>
            <w:r>
              <w:rPr>
                <w:rFonts w:hint="eastAsia" w:ascii="Times" w:hAnsi="Times"/>
                <w:bCs/>
                <w:iCs/>
                <w:color w:val="000000"/>
                <w:sz w:val="24"/>
                <w:szCs w:val="24"/>
              </w:rPr>
              <w:t>20年1月15日</w:t>
            </w:r>
          </w:p>
        </w:tc>
      </w:tr>
    </w:tbl>
    <w:p>
      <w:pPr>
        <w:rPr>
          <w:rFonts w:ascii="Times" w:hAnsi="Time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518E"/>
    <w:multiLevelType w:val="singleLevel"/>
    <w:tmpl w:val="10B2518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115EF"/>
    <w:rsid w:val="00072818"/>
    <w:rsid w:val="000D3E49"/>
    <w:rsid w:val="000E48BC"/>
    <w:rsid w:val="000F7213"/>
    <w:rsid w:val="00157C80"/>
    <w:rsid w:val="00166640"/>
    <w:rsid w:val="00170A40"/>
    <w:rsid w:val="00172524"/>
    <w:rsid w:val="001B187D"/>
    <w:rsid w:val="001C04B2"/>
    <w:rsid w:val="001F5A04"/>
    <w:rsid w:val="00250825"/>
    <w:rsid w:val="00255B8D"/>
    <w:rsid w:val="002816A8"/>
    <w:rsid w:val="00291B19"/>
    <w:rsid w:val="002D4769"/>
    <w:rsid w:val="002F1199"/>
    <w:rsid w:val="002F2B2E"/>
    <w:rsid w:val="0032763A"/>
    <w:rsid w:val="003E0893"/>
    <w:rsid w:val="00402F16"/>
    <w:rsid w:val="00415B2B"/>
    <w:rsid w:val="00416CA2"/>
    <w:rsid w:val="004511D2"/>
    <w:rsid w:val="004837BF"/>
    <w:rsid w:val="004969AA"/>
    <w:rsid w:val="004F00E7"/>
    <w:rsid w:val="00525805"/>
    <w:rsid w:val="00552639"/>
    <w:rsid w:val="00552E4C"/>
    <w:rsid w:val="00555FFD"/>
    <w:rsid w:val="00592E77"/>
    <w:rsid w:val="005C19C1"/>
    <w:rsid w:val="005C447D"/>
    <w:rsid w:val="005C53EB"/>
    <w:rsid w:val="005E73EA"/>
    <w:rsid w:val="0065078E"/>
    <w:rsid w:val="00677B5E"/>
    <w:rsid w:val="006C3197"/>
    <w:rsid w:val="006D62D1"/>
    <w:rsid w:val="006E151E"/>
    <w:rsid w:val="006E3A2E"/>
    <w:rsid w:val="006E44D7"/>
    <w:rsid w:val="00704839"/>
    <w:rsid w:val="00710E6C"/>
    <w:rsid w:val="00711EEB"/>
    <w:rsid w:val="00713AB2"/>
    <w:rsid w:val="00723461"/>
    <w:rsid w:val="00737CE1"/>
    <w:rsid w:val="00743ADF"/>
    <w:rsid w:val="007543C7"/>
    <w:rsid w:val="00754D35"/>
    <w:rsid w:val="00775474"/>
    <w:rsid w:val="00782A14"/>
    <w:rsid w:val="00783129"/>
    <w:rsid w:val="00795916"/>
    <w:rsid w:val="007A081B"/>
    <w:rsid w:val="007C0536"/>
    <w:rsid w:val="007D635F"/>
    <w:rsid w:val="007F44AB"/>
    <w:rsid w:val="007F5739"/>
    <w:rsid w:val="008023B3"/>
    <w:rsid w:val="00805CD2"/>
    <w:rsid w:val="00885D1C"/>
    <w:rsid w:val="008B1845"/>
    <w:rsid w:val="008B1B8B"/>
    <w:rsid w:val="008C4502"/>
    <w:rsid w:val="00903533"/>
    <w:rsid w:val="0093519B"/>
    <w:rsid w:val="00942711"/>
    <w:rsid w:val="00981284"/>
    <w:rsid w:val="00984399"/>
    <w:rsid w:val="00A036CC"/>
    <w:rsid w:val="00A22E3C"/>
    <w:rsid w:val="00A47B53"/>
    <w:rsid w:val="00A80D5C"/>
    <w:rsid w:val="00A93A09"/>
    <w:rsid w:val="00A9416E"/>
    <w:rsid w:val="00AA2A1D"/>
    <w:rsid w:val="00B10790"/>
    <w:rsid w:val="00B200BE"/>
    <w:rsid w:val="00B64E69"/>
    <w:rsid w:val="00B96713"/>
    <w:rsid w:val="00BA067D"/>
    <w:rsid w:val="00BB491B"/>
    <w:rsid w:val="00BC2170"/>
    <w:rsid w:val="00BE1030"/>
    <w:rsid w:val="00BE11D5"/>
    <w:rsid w:val="00C0479D"/>
    <w:rsid w:val="00C1340D"/>
    <w:rsid w:val="00C15F4F"/>
    <w:rsid w:val="00C204F6"/>
    <w:rsid w:val="00C30296"/>
    <w:rsid w:val="00C32AC4"/>
    <w:rsid w:val="00C3603A"/>
    <w:rsid w:val="00C52801"/>
    <w:rsid w:val="00C6058A"/>
    <w:rsid w:val="00C75078"/>
    <w:rsid w:val="00CA7396"/>
    <w:rsid w:val="00CB2A6C"/>
    <w:rsid w:val="00CE69A7"/>
    <w:rsid w:val="00D013B0"/>
    <w:rsid w:val="00D13B17"/>
    <w:rsid w:val="00D523C0"/>
    <w:rsid w:val="00D6566C"/>
    <w:rsid w:val="00D87F62"/>
    <w:rsid w:val="00DA0D40"/>
    <w:rsid w:val="00DC7C5F"/>
    <w:rsid w:val="00DD06B3"/>
    <w:rsid w:val="00DE1154"/>
    <w:rsid w:val="00DF3D85"/>
    <w:rsid w:val="00E03130"/>
    <w:rsid w:val="00E15892"/>
    <w:rsid w:val="00E33A64"/>
    <w:rsid w:val="00E41388"/>
    <w:rsid w:val="00E50F32"/>
    <w:rsid w:val="00ED05FD"/>
    <w:rsid w:val="00ED0C85"/>
    <w:rsid w:val="00EF17A0"/>
    <w:rsid w:val="00F048A4"/>
    <w:rsid w:val="00F176B7"/>
    <w:rsid w:val="00F26709"/>
    <w:rsid w:val="00F3258B"/>
    <w:rsid w:val="00F40719"/>
    <w:rsid w:val="00F40B63"/>
    <w:rsid w:val="00F515E5"/>
    <w:rsid w:val="00F9021F"/>
    <w:rsid w:val="00FF2F25"/>
    <w:rsid w:val="015D43F0"/>
    <w:rsid w:val="01E85FF3"/>
    <w:rsid w:val="037576DB"/>
    <w:rsid w:val="04203143"/>
    <w:rsid w:val="07CA6E57"/>
    <w:rsid w:val="089F77B2"/>
    <w:rsid w:val="08AC1A68"/>
    <w:rsid w:val="08D14100"/>
    <w:rsid w:val="08FF310D"/>
    <w:rsid w:val="090E2DD1"/>
    <w:rsid w:val="093E0EAF"/>
    <w:rsid w:val="0A20199E"/>
    <w:rsid w:val="0B10134B"/>
    <w:rsid w:val="0B8546D4"/>
    <w:rsid w:val="0C32428A"/>
    <w:rsid w:val="0C7248A5"/>
    <w:rsid w:val="0CA271EF"/>
    <w:rsid w:val="0D4C3D88"/>
    <w:rsid w:val="0DD702BF"/>
    <w:rsid w:val="0E0278AE"/>
    <w:rsid w:val="10277CE5"/>
    <w:rsid w:val="112B5ED3"/>
    <w:rsid w:val="112E1D4C"/>
    <w:rsid w:val="11C1651C"/>
    <w:rsid w:val="11E10BF7"/>
    <w:rsid w:val="12C9091D"/>
    <w:rsid w:val="12D90D91"/>
    <w:rsid w:val="13A90038"/>
    <w:rsid w:val="158A4BD0"/>
    <w:rsid w:val="15974576"/>
    <w:rsid w:val="15A7522C"/>
    <w:rsid w:val="164710C0"/>
    <w:rsid w:val="16BE50E3"/>
    <w:rsid w:val="17CC7D09"/>
    <w:rsid w:val="180C6B9E"/>
    <w:rsid w:val="182C40CE"/>
    <w:rsid w:val="19D21F1A"/>
    <w:rsid w:val="1A663A56"/>
    <w:rsid w:val="1A6D2DE1"/>
    <w:rsid w:val="1EA52D31"/>
    <w:rsid w:val="1EC275E7"/>
    <w:rsid w:val="1FA836AE"/>
    <w:rsid w:val="2032655D"/>
    <w:rsid w:val="20EC008A"/>
    <w:rsid w:val="24476BD4"/>
    <w:rsid w:val="264B410F"/>
    <w:rsid w:val="26DE2193"/>
    <w:rsid w:val="27BA0BB9"/>
    <w:rsid w:val="291A3BD6"/>
    <w:rsid w:val="2B612D1B"/>
    <w:rsid w:val="2BCF1603"/>
    <w:rsid w:val="2BF64780"/>
    <w:rsid w:val="2C6C3272"/>
    <w:rsid w:val="2C9B5858"/>
    <w:rsid w:val="2CC0723D"/>
    <w:rsid w:val="2EB81709"/>
    <w:rsid w:val="2EE97599"/>
    <w:rsid w:val="2F371CAE"/>
    <w:rsid w:val="30131B0C"/>
    <w:rsid w:val="30362C61"/>
    <w:rsid w:val="30DA2D49"/>
    <w:rsid w:val="31EC793D"/>
    <w:rsid w:val="33877404"/>
    <w:rsid w:val="33AD0836"/>
    <w:rsid w:val="353A46F8"/>
    <w:rsid w:val="35547134"/>
    <w:rsid w:val="36F12B4C"/>
    <w:rsid w:val="379B6E68"/>
    <w:rsid w:val="38050B1F"/>
    <w:rsid w:val="398526AD"/>
    <w:rsid w:val="39962899"/>
    <w:rsid w:val="3ADE34ED"/>
    <w:rsid w:val="3B6503A8"/>
    <w:rsid w:val="3C383CA2"/>
    <w:rsid w:val="3C3C247D"/>
    <w:rsid w:val="3CC45A51"/>
    <w:rsid w:val="3DE25338"/>
    <w:rsid w:val="3E437C20"/>
    <w:rsid w:val="3E637CCD"/>
    <w:rsid w:val="3EC22CEE"/>
    <w:rsid w:val="3EEF7791"/>
    <w:rsid w:val="3EF4409A"/>
    <w:rsid w:val="3F91386C"/>
    <w:rsid w:val="3FBD4C3A"/>
    <w:rsid w:val="441274FC"/>
    <w:rsid w:val="46BC6C95"/>
    <w:rsid w:val="48D727F6"/>
    <w:rsid w:val="49674A64"/>
    <w:rsid w:val="4B112C19"/>
    <w:rsid w:val="4B873AD7"/>
    <w:rsid w:val="4D511A09"/>
    <w:rsid w:val="4EA211BD"/>
    <w:rsid w:val="4EC601A5"/>
    <w:rsid w:val="4EDF37A1"/>
    <w:rsid w:val="4F783D0E"/>
    <w:rsid w:val="502F30D4"/>
    <w:rsid w:val="503A01BB"/>
    <w:rsid w:val="52B17D7A"/>
    <w:rsid w:val="536D0B10"/>
    <w:rsid w:val="55FE3CE3"/>
    <w:rsid w:val="577736DB"/>
    <w:rsid w:val="58970289"/>
    <w:rsid w:val="59DD75D3"/>
    <w:rsid w:val="5A4C0C85"/>
    <w:rsid w:val="5BD60983"/>
    <w:rsid w:val="5BEF0ADB"/>
    <w:rsid w:val="5D2F5379"/>
    <w:rsid w:val="5D60111D"/>
    <w:rsid w:val="5DFC6B20"/>
    <w:rsid w:val="5ED20BAF"/>
    <w:rsid w:val="5ED42D3B"/>
    <w:rsid w:val="60F1596B"/>
    <w:rsid w:val="61EA7725"/>
    <w:rsid w:val="6207346E"/>
    <w:rsid w:val="63233E3C"/>
    <w:rsid w:val="63243A49"/>
    <w:rsid w:val="638278F3"/>
    <w:rsid w:val="665761FB"/>
    <w:rsid w:val="66C4370A"/>
    <w:rsid w:val="66DC3DAB"/>
    <w:rsid w:val="687115EF"/>
    <w:rsid w:val="68D370E2"/>
    <w:rsid w:val="6AF94F15"/>
    <w:rsid w:val="6B2210DA"/>
    <w:rsid w:val="6B32730D"/>
    <w:rsid w:val="6B955594"/>
    <w:rsid w:val="6BE866C4"/>
    <w:rsid w:val="6C4472DE"/>
    <w:rsid w:val="6CA71EBA"/>
    <w:rsid w:val="6D0D1080"/>
    <w:rsid w:val="6E40632D"/>
    <w:rsid w:val="70745AF0"/>
    <w:rsid w:val="709A6EA9"/>
    <w:rsid w:val="717B03CA"/>
    <w:rsid w:val="74037936"/>
    <w:rsid w:val="749C2D9B"/>
    <w:rsid w:val="74D07EAD"/>
    <w:rsid w:val="74E31BA9"/>
    <w:rsid w:val="74FA63FF"/>
    <w:rsid w:val="752A5178"/>
    <w:rsid w:val="75AF288E"/>
    <w:rsid w:val="75D570B9"/>
    <w:rsid w:val="75DB4E28"/>
    <w:rsid w:val="763365AF"/>
    <w:rsid w:val="774C0E44"/>
    <w:rsid w:val="784A6C0F"/>
    <w:rsid w:val="791C3C4D"/>
    <w:rsid w:val="796019FB"/>
    <w:rsid w:val="79F210E8"/>
    <w:rsid w:val="7A4F176D"/>
    <w:rsid w:val="7A7E63E9"/>
    <w:rsid w:val="7AEF713C"/>
    <w:rsid w:val="7B5E767F"/>
    <w:rsid w:val="7BC24B16"/>
    <w:rsid w:val="7C6648D8"/>
    <w:rsid w:val="7D321BEA"/>
    <w:rsid w:val="7D3663BB"/>
    <w:rsid w:val="7D8F2B50"/>
    <w:rsid w:val="7D900E20"/>
    <w:rsid w:val="7DE73A23"/>
    <w:rsid w:val="7DF4770D"/>
    <w:rsid w:val="7EC5492C"/>
    <w:rsid w:val="7F9C064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Calibri" w:hAnsi="Calibri"/>
      <w:kern w:val="2"/>
      <w:sz w:val="18"/>
      <w:szCs w:val="18"/>
    </w:rPr>
  </w:style>
  <w:style w:type="character" w:customStyle="1" w:styleId="8">
    <w:name w:val="页脚 Char"/>
    <w:basedOn w:val="5"/>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185</Words>
  <Characters>1059</Characters>
  <Lines>8</Lines>
  <Paragraphs>2</Paragraphs>
  <TotalTime>349</TotalTime>
  <ScaleCrop>false</ScaleCrop>
  <LinksUpToDate>false</LinksUpToDate>
  <CharactersWithSpaces>1242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2018-08-10T00:20:00Z</dcterms:created>
  <dc:creator>花梧影</dc:creator>
  <cp:lastModifiedBy>呆甜</cp:lastModifiedBy>
  <cp:lastPrinted>2019-12-03T07:02:00Z</cp:lastPrinted>
  <dcterms:modified xsi:type="dcterms:W3CDTF">2020-01-16T02:36:55Z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