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6291" w14:textId="77777777" w:rsidR="00BA7AC5" w:rsidRDefault="00A900CE" w:rsidP="00B41231">
      <w:pPr>
        <w:jc w:val="left"/>
        <w:rPr>
          <w:rStyle w:val="NormalCharacter"/>
          <w:rFonts w:ascii="宋体" w:hAnsi="宋体"/>
          <w:bCs/>
          <w:iCs/>
          <w:sz w:val="24"/>
        </w:rPr>
      </w:pPr>
      <w:r w:rsidRPr="0022399F">
        <w:rPr>
          <w:rStyle w:val="NormalCharacter"/>
          <w:rFonts w:ascii="宋体" w:hAnsi="宋体"/>
          <w:bCs/>
          <w:iCs/>
          <w:sz w:val="24"/>
        </w:rPr>
        <w:t>证券代码：000963                       　　    证券简称：华东医药</w:t>
      </w:r>
    </w:p>
    <w:p w14:paraId="153D2F44" w14:textId="77777777" w:rsidR="00BA7AC5" w:rsidRDefault="00A900CE" w:rsidP="00416628">
      <w:pPr>
        <w:jc w:val="center"/>
        <w:rPr>
          <w:rStyle w:val="NormalCharacter"/>
          <w:rFonts w:ascii="宋体" w:hAnsi="宋体"/>
          <w:b/>
          <w:bCs/>
          <w:iCs/>
          <w:sz w:val="32"/>
          <w:szCs w:val="32"/>
        </w:rPr>
      </w:pPr>
      <w:r w:rsidRPr="0022399F">
        <w:rPr>
          <w:rStyle w:val="NormalCharacter"/>
          <w:rFonts w:ascii="宋体" w:hAnsi="宋体"/>
          <w:b/>
          <w:bCs/>
          <w:iCs/>
          <w:sz w:val="32"/>
          <w:szCs w:val="32"/>
        </w:rPr>
        <w:t>华东医药股份有限公司投资者关系活动记录表</w:t>
      </w:r>
    </w:p>
    <w:p w14:paraId="674B0E54" w14:textId="5014CD3B" w:rsidR="00BA7AC5" w:rsidRDefault="00A900CE" w:rsidP="00416628">
      <w:pPr>
        <w:rPr>
          <w:rStyle w:val="NormalCharacter"/>
          <w:rFonts w:ascii="宋体" w:hAnsi="宋体"/>
          <w:bCs/>
          <w:iCs/>
          <w:sz w:val="24"/>
        </w:rPr>
      </w:pPr>
      <w:r w:rsidRPr="0022399F">
        <w:rPr>
          <w:rStyle w:val="NormalCharacter"/>
          <w:rFonts w:ascii="宋体" w:hAnsi="宋体"/>
          <w:bCs/>
          <w:iCs/>
          <w:sz w:val="24"/>
        </w:rPr>
        <w:t xml:space="preserve">                                               　　    编号：20</w:t>
      </w:r>
      <w:r w:rsidR="00CA18E0">
        <w:rPr>
          <w:rStyle w:val="NormalCharacter"/>
          <w:rFonts w:ascii="宋体" w:hAnsi="宋体"/>
          <w:bCs/>
          <w:iCs/>
          <w:sz w:val="24"/>
        </w:rPr>
        <w:t>20</w:t>
      </w:r>
      <w:r w:rsidRPr="0022399F">
        <w:rPr>
          <w:rStyle w:val="NormalCharacter"/>
          <w:rFonts w:ascii="宋体" w:hAnsi="宋体"/>
          <w:bCs/>
          <w:iCs/>
          <w:sz w:val="24"/>
        </w:rPr>
        <w:t>-00</w:t>
      </w:r>
      <w:r w:rsidR="00CA18E0">
        <w:rPr>
          <w:rStyle w:val="NormalCharacter"/>
          <w:rFonts w:ascii="宋体" w:hAnsi="宋体"/>
          <w:bCs/>
          <w:iCs/>
          <w:sz w:val="24"/>
        </w:rPr>
        <w:t>1</w:t>
      </w:r>
    </w:p>
    <w:tbl>
      <w:tblPr>
        <w:tblW w:w="85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7E0" w:firstRow="1" w:lastRow="1" w:firstColumn="1" w:lastColumn="1" w:noHBand="1" w:noVBand="1"/>
      </w:tblPr>
      <w:tblGrid>
        <w:gridCol w:w="1242"/>
        <w:gridCol w:w="7302"/>
      </w:tblGrid>
      <w:tr w:rsidR="00BA7AC5" w14:paraId="044C3F4B" w14:textId="77777777">
        <w:tc>
          <w:tcPr>
            <w:tcW w:w="1242" w:type="dxa"/>
            <w:tcBorders>
              <w:top w:val="single" w:sz="4" w:space="0" w:color="000000"/>
              <w:left w:val="single" w:sz="4" w:space="0" w:color="000000"/>
              <w:bottom w:val="single" w:sz="4" w:space="0" w:color="000000"/>
              <w:right w:val="single" w:sz="4" w:space="0" w:color="000000"/>
            </w:tcBorders>
          </w:tcPr>
          <w:p w14:paraId="4571A96C"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投资者关系活动类别</w:t>
            </w:r>
          </w:p>
          <w:p w14:paraId="347D6635" w14:textId="77777777" w:rsidR="00BA7AC5" w:rsidRDefault="00BA7AC5" w:rsidP="00416628">
            <w:pPr>
              <w:rPr>
                <w:rStyle w:val="NormalCharacter"/>
                <w:rFonts w:ascii="宋体" w:hAnsi="宋体"/>
                <w:bCs/>
                <w:iCs/>
                <w:sz w:val="28"/>
                <w:szCs w:val="28"/>
              </w:rPr>
            </w:pPr>
          </w:p>
        </w:tc>
        <w:tc>
          <w:tcPr>
            <w:tcW w:w="7302" w:type="dxa"/>
            <w:tcBorders>
              <w:top w:val="single" w:sz="4" w:space="0" w:color="000000"/>
              <w:left w:val="single" w:sz="4" w:space="0" w:color="000000"/>
              <w:bottom w:val="single" w:sz="4" w:space="0" w:color="000000"/>
              <w:right w:val="single" w:sz="4" w:space="0" w:color="000000"/>
            </w:tcBorders>
          </w:tcPr>
          <w:p w14:paraId="49C6CE27"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w:t>
            </w:r>
            <w:r w:rsidRPr="0022399F">
              <w:rPr>
                <w:rStyle w:val="NormalCharacter"/>
                <w:rFonts w:ascii="宋体" w:hAnsi="宋体"/>
                <w:sz w:val="28"/>
                <w:szCs w:val="28"/>
              </w:rPr>
              <w:t xml:space="preserve">特定对象调研        </w:t>
            </w:r>
            <w:r w:rsidRPr="0022399F">
              <w:rPr>
                <w:rStyle w:val="NormalCharacter"/>
                <w:rFonts w:ascii="宋体" w:hAnsi="宋体"/>
                <w:bCs/>
                <w:iCs/>
                <w:sz w:val="28"/>
                <w:szCs w:val="28"/>
              </w:rPr>
              <w:t>□</w:t>
            </w:r>
            <w:r w:rsidRPr="0022399F">
              <w:rPr>
                <w:rStyle w:val="NormalCharacter"/>
                <w:rFonts w:ascii="宋体" w:hAnsi="宋体"/>
                <w:sz w:val="28"/>
                <w:szCs w:val="28"/>
              </w:rPr>
              <w:t>分析师会议</w:t>
            </w:r>
          </w:p>
          <w:p w14:paraId="6ADF9245"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w:t>
            </w:r>
            <w:r w:rsidRPr="0022399F">
              <w:rPr>
                <w:rStyle w:val="NormalCharacter"/>
                <w:rFonts w:ascii="宋体" w:hAnsi="宋体"/>
                <w:sz w:val="28"/>
                <w:szCs w:val="28"/>
              </w:rPr>
              <w:t xml:space="preserve">媒体采访            </w:t>
            </w:r>
            <w:r w:rsidRPr="0022399F">
              <w:rPr>
                <w:rStyle w:val="NormalCharacter"/>
                <w:rFonts w:ascii="宋体" w:hAnsi="宋体"/>
                <w:bCs/>
                <w:iCs/>
                <w:sz w:val="28"/>
                <w:szCs w:val="28"/>
              </w:rPr>
              <w:t>□</w:t>
            </w:r>
            <w:r w:rsidRPr="0022399F">
              <w:rPr>
                <w:rStyle w:val="NormalCharacter"/>
                <w:rFonts w:ascii="宋体" w:hAnsi="宋体"/>
                <w:sz w:val="28"/>
                <w:szCs w:val="28"/>
              </w:rPr>
              <w:t>业绩说明会</w:t>
            </w:r>
          </w:p>
          <w:p w14:paraId="1DFB54AF"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w:t>
            </w:r>
            <w:r w:rsidRPr="0022399F">
              <w:rPr>
                <w:rStyle w:val="NormalCharacter"/>
                <w:rFonts w:ascii="宋体" w:hAnsi="宋体"/>
                <w:sz w:val="28"/>
                <w:szCs w:val="28"/>
              </w:rPr>
              <w:t xml:space="preserve">新闻发布会          </w:t>
            </w:r>
            <w:r w:rsidRPr="0022399F">
              <w:rPr>
                <w:rStyle w:val="NormalCharacter"/>
                <w:rFonts w:ascii="宋体" w:hAnsi="宋体"/>
                <w:bCs/>
                <w:iCs/>
                <w:sz w:val="28"/>
                <w:szCs w:val="28"/>
              </w:rPr>
              <w:t>□</w:t>
            </w:r>
            <w:r w:rsidRPr="0022399F">
              <w:rPr>
                <w:rStyle w:val="NormalCharacter"/>
                <w:rFonts w:ascii="宋体" w:hAnsi="宋体"/>
                <w:sz w:val="28"/>
                <w:szCs w:val="28"/>
              </w:rPr>
              <w:t>路演活动</w:t>
            </w:r>
          </w:p>
          <w:p w14:paraId="4DEC7B8A" w14:textId="77777777" w:rsidR="00BA7AC5" w:rsidRDefault="00A900CE" w:rsidP="0067237F">
            <w:pPr>
              <w:tabs>
                <w:tab w:val="left" w:pos="3045"/>
                <w:tab w:val="center" w:pos="3199"/>
              </w:tabs>
              <w:ind w:left="1540" w:hangingChars="550" w:hanging="1540"/>
              <w:rPr>
                <w:rStyle w:val="NormalCharacter"/>
                <w:rFonts w:ascii="宋体" w:hAnsi="宋体"/>
                <w:bCs/>
                <w:iCs/>
                <w:sz w:val="28"/>
                <w:szCs w:val="28"/>
              </w:rPr>
            </w:pPr>
            <w:r w:rsidRPr="0022399F">
              <w:rPr>
                <w:rStyle w:val="NormalCharacter"/>
                <w:rFonts w:ascii="宋体" w:hAnsi="宋体"/>
                <w:bCs/>
                <w:iCs/>
                <w:sz w:val="28"/>
                <w:szCs w:val="28"/>
              </w:rPr>
              <w:t>□</w:t>
            </w:r>
            <w:r w:rsidRPr="0022399F">
              <w:rPr>
                <w:rStyle w:val="NormalCharacter"/>
                <w:rFonts w:ascii="宋体" w:hAnsi="宋体"/>
                <w:sz w:val="28"/>
                <w:szCs w:val="28"/>
              </w:rPr>
              <w:t>现场参观</w:t>
            </w:r>
            <w:r w:rsidRPr="0022399F">
              <w:rPr>
                <w:rStyle w:val="NormalCharacter"/>
                <w:rFonts w:ascii="宋体" w:hAnsi="宋体"/>
                <w:bCs/>
                <w:iCs/>
                <w:sz w:val="28"/>
                <w:szCs w:val="28"/>
              </w:rPr>
              <w:tab/>
              <w:t xml:space="preserve">           √</w:t>
            </w:r>
            <w:r w:rsidRPr="0022399F">
              <w:rPr>
                <w:rStyle w:val="NormalCharacter"/>
                <w:rFonts w:ascii="宋体" w:hAnsi="宋体"/>
                <w:sz w:val="28"/>
                <w:szCs w:val="28"/>
              </w:rPr>
              <w:t>其他</w:t>
            </w:r>
            <w:r w:rsidRPr="0022399F">
              <w:rPr>
                <w:rStyle w:val="NormalCharacter"/>
                <w:rFonts w:ascii="宋体" w:hAnsi="宋体"/>
                <w:sz w:val="28"/>
                <w:szCs w:val="28"/>
                <w:u w:val="single"/>
              </w:rPr>
              <w:t xml:space="preserve">  </w:t>
            </w:r>
            <w:r w:rsidR="00810271" w:rsidRPr="0022399F">
              <w:rPr>
                <w:rStyle w:val="NormalCharacter"/>
                <w:rFonts w:ascii="宋体" w:hAnsi="宋体"/>
                <w:sz w:val="28"/>
                <w:szCs w:val="28"/>
                <w:u w:val="single"/>
              </w:rPr>
              <w:t>电话会议</w:t>
            </w:r>
            <w:proofErr w:type="gramStart"/>
            <w:r w:rsidRPr="0022399F">
              <w:rPr>
                <w:rStyle w:val="NormalCharacter"/>
                <w:rFonts w:ascii="宋体" w:hAnsi="宋体"/>
                <w:sz w:val="28"/>
                <w:szCs w:val="28"/>
                <w:u w:val="single"/>
              </w:rPr>
              <w:t xml:space="preserve">　　　　　</w:t>
            </w:r>
            <w:proofErr w:type="gramEnd"/>
          </w:p>
        </w:tc>
      </w:tr>
      <w:tr w:rsidR="00BA7AC5" w14:paraId="5D4B07B5" w14:textId="77777777">
        <w:tc>
          <w:tcPr>
            <w:tcW w:w="1242" w:type="dxa"/>
            <w:tcBorders>
              <w:top w:val="single" w:sz="4" w:space="0" w:color="000000"/>
              <w:left w:val="single" w:sz="4" w:space="0" w:color="000000"/>
              <w:bottom w:val="single" w:sz="4" w:space="0" w:color="000000"/>
              <w:right w:val="single" w:sz="4" w:space="0" w:color="000000"/>
            </w:tcBorders>
          </w:tcPr>
          <w:p w14:paraId="7C24D1C5"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参与单位名称及人员姓名</w:t>
            </w:r>
          </w:p>
        </w:tc>
        <w:tc>
          <w:tcPr>
            <w:tcW w:w="7302" w:type="dxa"/>
            <w:tcBorders>
              <w:top w:val="single" w:sz="4" w:space="0" w:color="000000"/>
              <w:left w:val="single" w:sz="4" w:space="0" w:color="000000"/>
              <w:bottom w:val="single" w:sz="4" w:space="0" w:color="000000"/>
              <w:right w:val="single" w:sz="4" w:space="0" w:color="000000"/>
            </w:tcBorders>
          </w:tcPr>
          <w:p w14:paraId="2B90753E" w14:textId="24A578CF" w:rsidR="00BA7AC5" w:rsidRDefault="00810271" w:rsidP="00416628">
            <w:pPr>
              <w:ind w:firstLineChars="200" w:firstLine="562"/>
              <w:jc w:val="left"/>
              <w:rPr>
                <w:rStyle w:val="NormalCharacter"/>
                <w:rFonts w:ascii="宋体" w:hAnsi="宋体"/>
                <w:b/>
                <w:kern w:val="0"/>
                <w:sz w:val="28"/>
                <w:szCs w:val="28"/>
              </w:rPr>
            </w:pPr>
            <w:r w:rsidRPr="0022399F">
              <w:rPr>
                <w:rStyle w:val="NormalCharacter"/>
                <w:rFonts w:ascii="宋体" w:hAnsi="宋体"/>
                <w:b/>
                <w:kern w:val="0"/>
                <w:sz w:val="28"/>
                <w:szCs w:val="28"/>
              </w:rPr>
              <w:t>（1）20</w:t>
            </w:r>
            <w:r w:rsidR="00CA18E0">
              <w:rPr>
                <w:rStyle w:val="NormalCharacter"/>
                <w:rFonts w:ascii="宋体" w:hAnsi="宋体"/>
                <w:b/>
                <w:kern w:val="0"/>
                <w:sz w:val="28"/>
                <w:szCs w:val="28"/>
              </w:rPr>
              <w:t>20</w:t>
            </w:r>
            <w:r w:rsidRPr="0022399F">
              <w:rPr>
                <w:rStyle w:val="NormalCharacter"/>
                <w:rFonts w:ascii="宋体" w:hAnsi="宋体"/>
                <w:b/>
                <w:kern w:val="0"/>
                <w:sz w:val="28"/>
                <w:szCs w:val="28"/>
              </w:rPr>
              <w:t>年</w:t>
            </w:r>
            <w:r w:rsidR="00CA18E0">
              <w:rPr>
                <w:rStyle w:val="NormalCharacter"/>
                <w:rFonts w:ascii="宋体" w:hAnsi="宋体"/>
                <w:b/>
                <w:kern w:val="0"/>
                <w:sz w:val="28"/>
                <w:szCs w:val="28"/>
              </w:rPr>
              <w:t>1</w:t>
            </w:r>
            <w:r w:rsidRPr="0022399F">
              <w:rPr>
                <w:rStyle w:val="NormalCharacter"/>
                <w:rFonts w:ascii="宋体" w:hAnsi="宋体"/>
                <w:b/>
                <w:kern w:val="0"/>
                <w:sz w:val="28"/>
                <w:szCs w:val="28"/>
              </w:rPr>
              <w:t>月</w:t>
            </w:r>
            <w:r w:rsidR="00CA18E0">
              <w:rPr>
                <w:rStyle w:val="NormalCharacter"/>
                <w:rFonts w:ascii="宋体" w:hAnsi="宋体"/>
                <w:b/>
                <w:kern w:val="0"/>
                <w:sz w:val="28"/>
                <w:szCs w:val="28"/>
              </w:rPr>
              <w:t>19</w:t>
            </w:r>
            <w:r w:rsidRPr="0022399F">
              <w:rPr>
                <w:rStyle w:val="NormalCharacter"/>
                <w:rFonts w:ascii="宋体" w:hAnsi="宋体"/>
                <w:b/>
                <w:kern w:val="0"/>
                <w:sz w:val="28"/>
                <w:szCs w:val="28"/>
              </w:rPr>
              <w:t>日</w:t>
            </w:r>
            <w:r w:rsidR="003225A6">
              <w:rPr>
                <w:rStyle w:val="NormalCharacter"/>
                <w:rFonts w:ascii="宋体" w:hAnsi="宋体"/>
                <w:b/>
                <w:kern w:val="0"/>
                <w:sz w:val="28"/>
                <w:szCs w:val="28"/>
              </w:rPr>
              <w:t xml:space="preserve"> </w:t>
            </w:r>
            <w:r w:rsidR="003225A6">
              <w:rPr>
                <w:rStyle w:val="NormalCharacter"/>
                <w:rFonts w:ascii="宋体" w:hAnsi="宋体"/>
                <w:b/>
                <w:bCs/>
                <w:iCs/>
                <w:sz w:val="28"/>
                <w:szCs w:val="28"/>
              </w:rPr>
              <w:t>20:0</w:t>
            </w:r>
            <w:r w:rsidR="00B41231">
              <w:rPr>
                <w:rStyle w:val="NormalCharacter"/>
                <w:rFonts w:ascii="宋体" w:hAnsi="宋体"/>
                <w:b/>
                <w:bCs/>
                <w:iCs/>
                <w:sz w:val="28"/>
                <w:szCs w:val="28"/>
              </w:rPr>
              <w:t>0</w:t>
            </w:r>
            <w:r w:rsidR="003225A6">
              <w:rPr>
                <w:rStyle w:val="NormalCharacter"/>
                <w:rFonts w:ascii="宋体" w:hAnsi="宋体"/>
                <w:b/>
                <w:bCs/>
                <w:iCs/>
                <w:sz w:val="28"/>
                <w:szCs w:val="28"/>
              </w:rPr>
              <w:t>-2</w:t>
            </w:r>
            <w:r w:rsidR="00B41231">
              <w:rPr>
                <w:rStyle w:val="NormalCharacter"/>
                <w:rFonts w:ascii="宋体" w:hAnsi="宋体"/>
                <w:b/>
                <w:bCs/>
                <w:iCs/>
                <w:sz w:val="28"/>
                <w:szCs w:val="28"/>
              </w:rPr>
              <w:t>0</w:t>
            </w:r>
            <w:r w:rsidRPr="0022399F">
              <w:rPr>
                <w:rStyle w:val="NormalCharacter"/>
                <w:rFonts w:ascii="宋体" w:hAnsi="宋体"/>
                <w:b/>
                <w:bCs/>
                <w:iCs/>
                <w:sz w:val="28"/>
                <w:szCs w:val="28"/>
              </w:rPr>
              <w:t>:</w:t>
            </w:r>
            <w:r w:rsidR="00B41231">
              <w:rPr>
                <w:rStyle w:val="NormalCharacter"/>
                <w:rFonts w:ascii="宋体" w:hAnsi="宋体"/>
                <w:b/>
                <w:bCs/>
                <w:iCs/>
                <w:sz w:val="28"/>
                <w:szCs w:val="28"/>
              </w:rPr>
              <w:t>50</w:t>
            </w:r>
          </w:p>
          <w:p w14:paraId="5FEE9CF8" w14:textId="24E2ACE5" w:rsidR="00BA7AC5" w:rsidRDefault="00810271" w:rsidP="00416628">
            <w:pPr>
              <w:ind w:firstLineChars="200" w:firstLine="562"/>
              <w:jc w:val="left"/>
              <w:rPr>
                <w:rStyle w:val="NormalCharacter"/>
                <w:rFonts w:ascii="宋体" w:hAnsi="宋体"/>
                <w:b/>
                <w:kern w:val="0"/>
                <w:sz w:val="28"/>
                <w:szCs w:val="28"/>
              </w:rPr>
            </w:pPr>
            <w:r w:rsidRPr="0022399F">
              <w:rPr>
                <w:rStyle w:val="NormalCharacter"/>
                <w:rFonts w:ascii="宋体" w:hAnsi="宋体"/>
                <w:b/>
                <w:kern w:val="0"/>
                <w:sz w:val="28"/>
                <w:szCs w:val="28"/>
              </w:rPr>
              <w:t>兴业证券—华东医药</w:t>
            </w:r>
            <w:r w:rsidR="003225A6" w:rsidRPr="003225A6">
              <w:rPr>
                <w:rStyle w:val="NormalCharacter"/>
                <w:rFonts w:ascii="宋体" w:hAnsi="宋体"/>
                <w:b/>
                <w:kern w:val="0"/>
                <w:sz w:val="28"/>
                <w:szCs w:val="28"/>
              </w:rPr>
              <w:t>参与全国药品集中采购投标结果</w:t>
            </w:r>
            <w:r w:rsidR="00B41231">
              <w:rPr>
                <w:rStyle w:val="NormalCharacter"/>
                <w:rFonts w:ascii="宋体" w:hAnsi="宋体" w:hint="eastAsia"/>
                <w:b/>
                <w:kern w:val="0"/>
                <w:sz w:val="28"/>
                <w:szCs w:val="28"/>
              </w:rPr>
              <w:t>事项</w:t>
            </w:r>
            <w:r w:rsidRPr="0022399F">
              <w:rPr>
                <w:rStyle w:val="NormalCharacter"/>
                <w:rFonts w:ascii="宋体" w:hAnsi="宋体"/>
                <w:b/>
                <w:kern w:val="0"/>
                <w:sz w:val="28"/>
                <w:szCs w:val="28"/>
              </w:rPr>
              <w:t>解读电话会议</w:t>
            </w:r>
          </w:p>
          <w:p w14:paraId="6008C0F1" w14:textId="77777777" w:rsidR="00BA7AC5" w:rsidRPr="00B41231" w:rsidRDefault="00D07895" w:rsidP="00B41231">
            <w:pPr>
              <w:ind w:firstLineChars="200" w:firstLine="560"/>
              <w:rPr>
                <w:rStyle w:val="NormalCharacter"/>
                <w:rFonts w:ascii="宋体" w:hAnsi="宋体"/>
                <w:bCs/>
                <w:iCs/>
                <w:sz w:val="28"/>
                <w:szCs w:val="28"/>
              </w:rPr>
            </w:pPr>
            <w:bookmarkStart w:id="0" w:name="_GoBack"/>
            <w:r w:rsidRPr="00B41231">
              <w:rPr>
                <w:rStyle w:val="NormalCharacter"/>
                <w:rFonts w:ascii="宋体" w:hAnsi="宋体"/>
                <w:bCs/>
                <w:iCs/>
                <w:sz w:val="28"/>
                <w:szCs w:val="28"/>
              </w:rPr>
              <w:t>参与单位：</w:t>
            </w:r>
            <w:r w:rsidR="00B62D95" w:rsidRPr="00B41231">
              <w:rPr>
                <w:rStyle w:val="NormalCharacter"/>
                <w:rFonts w:ascii="宋体" w:hAnsi="宋体"/>
                <w:bCs/>
                <w:iCs/>
                <w:sz w:val="28"/>
                <w:szCs w:val="28"/>
              </w:rPr>
              <w:t>兴业证券、中信证券、中泰证券、长江证券、平安证券、江海证券、海通证券、国泰君安、国融证券、国金证券、广发证券、东海证券、东莞证券、东方证券、财通证券、渤海证券、嘉实基金、中投基金、中欧基金、中加基金、中国健康基金、</w:t>
            </w:r>
            <w:proofErr w:type="gramStart"/>
            <w:r w:rsidR="00B62D95" w:rsidRPr="00B41231">
              <w:rPr>
                <w:rStyle w:val="NormalCharacter"/>
                <w:rFonts w:ascii="宋体" w:hAnsi="宋体"/>
                <w:bCs/>
                <w:iCs/>
                <w:sz w:val="28"/>
                <w:szCs w:val="28"/>
              </w:rPr>
              <w:t>中庚基金</w:t>
            </w:r>
            <w:proofErr w:type="gramEnd"/>
            <w:r w:rsidR="00B62D95" w:rsidRPr="00B41231">
              <w:rPr>
                <w:rStyle w:val="NormalCharacter"/>
                <w:rFonts w:ascii="宋体" w:hAnsi="宋体"/>
                <w:bCs/>
                <w:iCs/>
                <w:sz w:val="28"/>
                <w:szCs w:val="28"/>
              </w:rPr>
              <w:t>、长盛基金、原银河基金、华夏基金、银华基金、银河基金、兴全基金、兴安环球基金、</w:t>
            </w:r>
            <w:proofErr w:type="gramStart"/>
            <w:r w:rsidR="00B62D95" w:rsidRPr="00B41231">
              <w:rPr>
                <w:rStyle w:val="NormalCharacter"/>
                <w:rFonts w:ascii="宋体" w:hAnsi="宋体"/>
                <w:bCs/>
                <w:iCs/>
                <w:sz w:val="28"/>
                <w:szCs w:val="28"/>
              </w:rPr>
              <w:t>鑫</w:t>
            </w:r>
            <w:proofErr w:type="gramEnd"/>
            <w:r w:rsidR="00B62D95" w:rsidRPr="00B41231">
              <w:rPr>
                <w:rStyle w:val="NormalCharacter"/>
                <w:rFonts w:ascii="宋体" w:hAnsi="宋体"/>
                <w:bCs/>
                <w:iCs/>
                <w:sz w:val="28"/>
                <w:szCs w:val="28"/>
              </w:rPr>
              <w:t>源基金、新华基金、万家基金、天治基金、</w:t>
            </w:r>
            <w:proofErr w:type="gramStart"/>
            <w:r w:rsidR="00B62D95" w:rsidRPr="00B41231">
              <w:rPr>
                <w:rStyle w:val="NormalCharacter"/>
                <w:rFonts w:ascii="宋体" w:hAnsi="宋体"/>
                <w:bCs/>
                <w:iCs/>
                <w:sz w:val="28"/>
                <w:szCs w:val="28"/>
              </w:rPr>
              <w:t>天弘基金</w:t>
            </w:r>
            <w:proofErr w:type="gramEnd"/>
            <w:r w:rsidR="00B62D95" w:rsidRPr="00B41231">
              <w:rPr>
                <w:rStyle w:val="NormalCharacter"/>
                <w:rFonts w:ascii="宋体" w:hAnsi="宋体"/>
                <w:bCs/>
                <w:iCs/>
                <w:sz w:val="28"/>
                <w:szCs w:val="28"/>
              </w:rPr>
              <w:t>、泰达宏利基金、太平基金、</w:t>
            </w:r>
            <w:proofErr w:type="gramStart"/>
            <w:r w:rsidR="00B62D95" w:rsidRPr="00B41231">
              <w:rPr>
                <w:rStyle w:val="NormalCharacter"/>
                <w:rFonts w:ascii="宋体" w:hAnsi="宋体"/>
                <w:bCs/>
                <w:iCs/>
                <w:sz w:val="28"/>
                <w:szCs w:val="28"/>
              </w:rPr>
              <w:t>睿</w:t>
            </w:r>
            <w:proofErr w:type="gramEnd"/>
            <w:r w:rsidR="00B62D95" w:rsidRPr="00B41231">
              <w:rPr>
                <w:rStyle w:val="NormalCharacter"/>
                <w:rFonts w:ascii="宋体" w:hAnsi="宋体"/>
                <w:bCs/>
                <w:iCs/>
                <w:sz w:val="28"/>
                <w:szCs w:val="28"/>
              </w:rPr>
              <w:t>远基金、平安基金、鹏华基金、南华基金、南方基金、路博迈基金、金鹰基金、金信基金、江信基金、建信基金、</w:t>
            </w:r>
            <w:proofErr w:type="gramStart"/>
            <w:r w:rsidR="00B62D95" w:rsidRPr="00B41231">
              <w:rPr>
                <w:rStyle w:val="NormalCharacter"/>
                <w:rFonts w:ascii="宋体" w:hAnsi="宋体"/>
                <w:bCs/>
                <w:iCs/>
                <w:sz w:val="28"/>
                <w:szCs w:val="28"/>
              </w:rPr>
              <w:t>汇添富</w:t>
            </w:r>
            <w:proofErr w:type="gramEnd"/>
            <w:r w:rsidR="00B62D95" w:rsidRPr="00B41231">
              <w:rPr>
                <w:rStyle w:val="NormalCharacter"/>
                <w:rFonts w:ascii="宋体" w:hAnsi="宋体"/>
                <w:bCs/>
                <w:iCs/>
                <w:sz w:val="28"/>
                <w:szCs w:val="28"/>
              </w:rPr>
              <w:t>基金、华泰柏瑞基金、华宝基金、弘毅远方基金、海富通基金、国联安基金、国开泰富基金、国海富兰克林基金、广州成吉思汗基金、广发基金、光大保德信基金、富国基金、富安达基金、风和亚</w:t>
            </w:r>
            <w:r w:rsidR="00B62D95" w:rsidRPr="00B41231">
              <w:rPr>
                <w:rStyle w:val="NormalCharacter"/>
                <w:rFonts w:ascii="宋体" w:hAnsi="宋体"/>
                <w:bCs/>
                <w:iCs/>
                <w:sz w:val="28"/>
                <w:szCs w:val="28"/>
              </w:rPr>
              <w:lastRenderedPageBreak/>
              <w:t>洲基金、东吴基金、德邦基金、大成基金、淳厚基金、</w:t>
            </w:r>
            <w:proofErr w:type="gramStart"/>
            <w:r w:rsidR="00B62D95" w:rsidRPr="00B41231">
              <w:rPr>
                <w:rStyle w:val="NormalCharacter"/>
                <w:rFonts w:ascii="宋体" w:hAnsi="宋体"/>
                <w:bCs/>
                <w:iCs/>
                <w:sz w:val="28"/>
                <w:szCs w:val="28"/>
              </w:rPr>
              <w:t>创金合</w:t>
            </w:r>
            <w:proofErr w:type="gramEnd"/>
            <w:r w:rsidR="00B62D95" w:rsidRPr="00B41231">
              <w:rPr>
                <w:rStyle w:val="NormalCharacter"/>
                <w:rFonts w:ascii="宋体" w:hAnsi="宋体"/>
                <w:bCs/>
                <w:iCs/>
                <w:sz w:val="28"/>
                <w:szCs w:val="28"/>
              </w:rPr>
              <w:t>信基金、保银基金、安信基金、摩根史丹利、交银施罗德基金、惠理基金、</w:t>
            </w:r>
            <w:proofErr w:type="gramStart"/>
            <w:r w:rsidR="00B62D95" w:rsidRPr="00B41231">
              <w:rPr>
                <w:rStyle w:val="NormalCharacter"/>
                <w:rFonts w:ascii="宋体" w:hAnsi="宋体"/>
                <w:bCs/>
                <w:iCs/>
                <w:sz w:val="28"/>
                <w:szCs w:val="28"/>
              </w:rPr>
              <w:t>兴证国际</w:t>
            </w:r>
            <w:proofErr w:type="gramEnd"/>
            <w:r w:rsidR="00B62D95" w:rsidRPr="00B41231">
              <w:rPr>
                <w:rStyle w:val="NormalCharacter"/>
                <w:rFonts w:ascii="宋体" w:hAnsi="宋体"/>
                <w:bCs/>
                <w:iCs/>
                <w:sz w:val="28"/>
                <w:szCs w:val="28"/>
              </w:rPr>
              <w:t>、</w:t>
            </w:r>
            <w:proofErr w:type="gramStart"/>
            <w:r w:rsidR="00B62D95" w:rsidRPr="00B41231">
              <w:rPr>
                <w:rStyle w:val="NormalCharacter"/>
                <w:rFonts w:ascii="宋体" w:hAnsi="宋体"/>
                <w:bCs/>
                <w:iCs/>
                <w:sz w:val="28"/>
                <w:szCs w:val="28"/>
              </w:rPr>
              <w:t>国投瑞银</w:t>
            </w:r>
            <w:proofErr w:type="gramEnd"/>
            <w:r w:rsidR="00B62D95" w:rsidRPr="00B41231">
              <w:rPr>
                <w:rStyle w:val="NormalCharacter"/>
                <w:rFonts w:ascii="宋体" w:hAnsi="宋体"/>
                <w:bCs/>
                <w:iCs/>
                <w:sz w:val="28"/>
                <w:szCs w:val="28"/>
              </w:rPr>
              <w:t>基金、贝莱德资产管理、中英人寿、中国人寿资产、中国人保资产、中国人保养老保险、亚太财险、前海人寿保险、农银人寿、百年保险资管、</w:t>
            </w:r>
            <w:proofErr w:type="gramStart"/>
            <w:r w:rsidR="00B62D95" w:rsidRPr="00B41231">
              <w:rPr>
                <w:rStyle w:val="NormalCharacter"/>
                <w:rFonts w:ascii="宋体" w:hAnsi="宋体"/>
                <w:bCs/>
                <w:iCs/>
                <w:sz w:val="28"/>
                <w:szCs w:val="28"/>
              </w:rPr>
              <w:t>挚</w:t>
            </w:r>
            <w:proofErr w:type="gramEnd"/>
            <w:r w:rsidR="00B62D95" w:rsidRPr="00B41231">
              <w:rPr>
                <w:rStyle w:val="NormalCharacter"/>
                <w:rFonts w:ascii="宋体" w:hAnsi="宋体"/>
                <w:bCs/>
                <w:iCs/>
                <w:sz w:val="28"/>
                <w:szCs w:val="28"/>
              </w:rPr>
              <w:t>信资本、</w:t>
            </w:r>
            <w:proofErr w:type="gramStart"/>
            <w:r w:rsidR="00B62D95" w:rsidRPr="00B41231">
              <w:rPr>
                <w:rStyle w:val="NormalCharacter"/>
                <w:rFonts w:ascii="宋体" w:hAnsi="宋体"/>
                <w:bCs/>
                <w:iCs/>
                <w:sz w:val="28"/>
                <w:szCs w:val="28"/>
              </w:rPr>
              <w:t>浙农投资</w:t>
            </w:r>
            <w:proofErr w:type="gramEnd"/>
            <w:r w:rsidR="00B62D95" w:rsidRPr="00B41231">
              <w:rPr>
                <w:rStyle w:val="NormalCharacter"/>
                <w:rFonts w:ascii="宋体" w:hAnsi="宋体"/>
                <w:bCs/>
                <w:iCs/>
                <w:sz w:val="28"/>
                <w:szCs w:val="28"/>
              </w:rPr>
              <w:t>、浙江兴合、</w:t>
            </w:r>
            <w:proofErr w:type="gramStart"/>
            <w:r w:rsidR="00B62D95" w:rsidRPr="00B41231">
              <w:rPr>
                <w:rStyle w:val="NormalCharacter"/>
                <w:rFonts w:ascii="宋体" w:hAnsi="宋体"/>
                <w:bCs/>
                <w:iCs/>
                <w:sz w:val="28"/>
                <w:szCs w:val="28"/>
              </w:rPr>
              <w:t>浙江善渊投资</w:t>
            </w:r>
            <w:proofErr w:type="gramEnd"/>
            <w:r w:rsidR="00B62D95" w:rsidRPr="00B41231">
              <w:rPr>
                <w:rStyle w:val="NormalCharacter"/>
                <w:rFonts w:ascii="宋体" w:hAnsi="宋体"/>
                <w:bCs/>
                <w:iCs/>
                <w:sz w:val="28"/>
                <w:szCs w:val="28"/>
              </w:rPr>
              <w:t>、浙江农资集团投资、浙江怀信资管、远望资产、远望角投资、</w:t>
            </w:r>
            <w:proofErr w:type="gramStart"/>
            <w:r w:rsidR="00B62D95" w:rsidRPr="00B41231">
              <w:rPr>
                <w:rStyle w:val="NormalCharacter"/>
                <w:rFonts w:ascii="宋体" w:hAnsi="宋体"/>
                <w:bCs/>
                <w:iCs/>
                <w:sz w:val="28"/>
                <w:szCs w:val="28"/>
              </w:rPr>
              <w:t>翼虎投资</w:t>
            </w:r>
            <w:proofErr w:type="gramEnd"/>
            <w:r w:rsidR="00B62D95" w:rsidRPr="00B41231">
              <w:rPr>
                <w:rStyle w:val="NormalCharacter"/>
                <w:rFonts w:ascii="宋体" w:hAnsi="宋体"/>
                <w:bCs/>
                <w:iCs/>
                <w:sz w:val="28"/>
                <w:szCs w:val="28"/>
              </w:rPr>
              <w:t>、易同投资、星通资本、仙湖投资、武汉传奇投资、</w:t>
            </w:r>
            <w:proofErr w:type="gramStart"/>
            <w:r w:rsidR="00B62D95" w:rsidRPr="00B41231">
              <w:rPr>
                <w:rStyle w:val="NormalCharacter"/>
                <w:rFonts w:ascii="宋体" w:hAnsi="宋体"/>
                <w:bCs/>
                <w:iCs/>
                <w:sz w:val="28"/>
                <w:szCs w:val="28"/>
              </w:rPr>
              <w:t>芜湖弘唯基石</w:t>
            </w:r>
            <w:proofErr w:type="gramEnd"/>
            <w:r w:rsidR="00B62D95" w:rsidRPr="00B41231">
              <w:rPr>
                <w:rStyle w:val="NormalCharacter"/>
                <w:rFonts w:ascii="宋体" w:hAnsi="宋体"/>
                <w:bCs/>
                <w:iCs/>
                <w:sz w:val="28"/>
                <w:szCs w:val="28"/>
              </w:rPr>
              <w:t>投资、温士投资、重阳投资、同</w:t>
            </w:r>
            <w:proofErr w:type="gramStart"/>
            <w:r w:rsidR="00B62D95" w:rsidRPr="00B41231">
              <w:rPr>
                <w:rStyle w:val="NormalCharacter"/>
                <w:rFonts w:ascii="宋体" w:hAnsi="宋体"/>
                <w:bCs/>
                <w:iCs/>
                <w:sz w:val="28"/>
                <w:szCs w:val="28"/>
              </w:rPr>
              <w:t>犇</w:t>
            </w:r>
            <w:proofErr w:type="gramEnd"/>
            <w:r w:rsidR="00B62D95" w:rsidRPr="00B41231">
              <w:rPr>
                <w:rStyle w:val="NormalCharacter"/>
                <w:rFonts w:ascii="宋体" w:hAnsi="宋体"/>
                <w:bCs/>
                <w:iCs/>
                <w:sz w:val="28"/>
                <w:szCs w:val="28"/>
              </w:rPr>
              <w:t>投资、天骏投资、</w:t>
            </w:r>
            <w:proofErr w:type="gramStart"/>
            <w:r w:rsidR="00B62D95" w:rsidRPr="00B41231">
              <w:rPr>
                <w:rStyle w:val="NormalCharacter"/>
                <w:rFonts w:ascii="宋体" w:hAnsi="宋体"/>
                <w:bCs/>
                <w:iCs/>
                <w:sz w:val="28"/>
                <w:szCs w:val="28"/>
              </w:rPr>
              <w:t>泰仁资本</w:t>
            </w:r>
            <w:proofErr w:type="gramEnd"/>
            <w:r w:rsidR="00B62D95" w:rsidRPr="00B41231">
              <w:rPr>
                <w:rStyle w:val="NormalCharacter"/>
                <w:rFonts w:ascii="宋体" w:hAnsi="宋体"/>
                <w:bCs/>
                <w:iCs/>
                <w:sz w:val="28"/>
                <w:szCs w:val="28"/>
              </w:rPr>
              <w:t>、太平资产、盛宇投资、深圳杉树资管、深圳前海安康投资、深圳凯丰投资、深圳高特佳投资、上海致君资产、</w:t>
            </w:r>
            <w:proofErr w:type="gramStart"/>
            <w:r w:rsidR="00B62D95" w:rsidRPr="00B41231">
              <w:rPr>
                <w:rStyle w:val="NormalCharacter"/>
                <w:rFonts w:ascii="宋体" w:hAnsi="宋体"/>
                <w:bCs/>
                <w:iCs/>
                <w:sz w:val="28"/>
                <w:szCs w:val="28"/>
              </w:rPr>
              <w:t>上海盘京投资</w:t>
            </w:r>
            <w:proofErr w:type="gramEnd"/>
            <w:r w:rsidR="00B62D95" w:rsidRPr="00B41231">
              <w:rPr>
                <w:rStyle w:val="NormalCharacter"/>
                <w:rFonts w:ascii="宋体" w:hAnsi="宋体"/>
                <w:bCs/>
                <w:iCs/>
                <w:sz w:val="28"/>
                <w:szCs w:val="28"/>
              </w:rPr>
              <w:t>、上海</w:t>
            </w:r>
            <w:proofErr w:type="gramStart"/>
            <w:r w:rsidR="00B62D95" w:rsidRPr="00B41231">
              <w:rPr>
                <w:rStyle w:val="NormalCharacter"/>
                <w:rFonts w:ascii="宋体" w:hAnsi="宋体"/>
                <w:bCs/>
                <w:iCs/>
                <w:sz w:val="28"/>
                <w:szCs w:val="28"/>
              </w:rPr>
              <w:t>梵</w:t>
            </w:r>
            <w:proofErr w:type="gramEnd"/>
            <w:r w:rsidR="00B62D95" w:rsidRPr="00B41231">
              <w:rPr>
                <w:rStyle w:val="NormalCharacter"/>
                <w:rFonts w:ascii="宋体" w:hAnsi="宋体"/>
                <w:bCs/>
                <w:iCs/>
                <w:sz w:val="28"/>
                <w:szCs w:val="28"/>
              </w:rPr>
              <w:t>基投资、</w:t>
            </w:r>
            <w:proofErr w:type="gramStart"/>
            <w:r w:rsidR="00B62D95" w:rsidRPr="00B41231">
              <w:rPr>
                <w:rStyle w:val="NormalCharacter"/>
                <w:rFonts w:ascii="宋体" w:hAnsi="宋体"/>
                <w:bCs/>
                <w:iCs/>
                <w:sz w:val="28"/>
                <w:szCs w:val="28"/>
              </w:rPr>
              <w:t>上海博润投资</w:t>
            </w:r>
            <w:proofErr w:type="gramEnd"/>
            <w:r w:rsidR="00B62D95" w:rsidRPr="00B41231">
              <w:rPr>
                <w:rStyle w:val="NormalCharacter"/>
                <w:rFonts w:ascii="宋体" w:hAnsi="宋体"/>
                <w:bCs/>
                <w:iCs/>
                <w:sz w:val="28"/>
                <w:szCs w:val="28"/>
              </w:rPr>
              <w:t>、珊瑚投资、瑞银资本、清水源投资、璞</w:t>
            </w:r>
            <w:proofErr w:type="gramStart"/>
            <w:r w:rsidR="00B62D95" w:rsidRPr="00B41231">
              <w:rPr>
                <w:rStyle w:val="NormalCharacter"/>
                <w:rFonts w:ascii="宋体" w:hAnsi="宋体"/>
                <w:bCs/>
                <w:iCs/>
                <w:sz w:val="28"/>
                <w:szCs w:val="28"/>
              </w:rPr>
              <w:t>琢</w:t>
            </w:r>
            <w:proofErr w:type="gramEnd"/>
            <w:r w:rsidR="00B62D95" w:rsidRPr="00B41231">
              <w:rPr>
                <w:rStyle w:val="NormalCharacter"/>
                <w:rFonts w:ascii="宋体" w:hAnsi="宋体"/>
                <w:bCs/>
                <w:iCs/>
                <w:sz w:val="28"/>
                <w:szCs w:val="28"/>
              </w:rPr>
              <w:t>资产、</w:t>
            </w:r>
            <w:proofErr w:type="gramStart"/>
            <w:r w:rsidR="00B62D95" w:rsidRPr="00B41231">
              <w:rPr>
                <w:rStyle w:val="NormalCharacter"/>
                <w:rFonts w:ascii="宋体" w:hAnsi="宋体"/>
                <w:bCs/>
                <w:iCs/>
                <w:sz w:val="28"/>
                <w:szCs w:val="28"/>
              </w:rPr>
              <w:t>盘京投资</w:t>
            </w:r>
            <w:proofErr w:type="gramEnd"/>
            <w:r w:rsidR="00B62D95" w:rsidRPr="00B41231">
              <w:rPr>
                <w:rStyle w:val="NormalCharacter"/>
                <w:rFonts w:ascii="宋体" w:hAnsi="宋体"/>
                <w:bCs/>
                <w:iCs/>
                <w:sz w:val="28"/>
                <w:szCs w:val="28"/>
              </w:rPr>
              <w:t>、宁波市星通投资、宽远资产、</w:t>
            </w:r>
            <w:proofErr w:type="gramStart"/>
            <w:r w:rsidR="00B62D95" w:rsidRPr="00B41231">
              <w:rPr>
                <w:rStyle w:val="NormalCharacter"/>
                <w:rFonts w:ascii="宋体" w:hAnsi="宋体"/>
                <w:bCs/>
                <w:iCs/>
                <w:sz w:val="28"/>
                <w:szCs w:val="28"/>
              </w:rPr>
              <w:t>骏泽投资</w:t>
            </w:r>
            <w:proofErr w:type="gramEnd"/>
            <w:r w:rsidR="00B62D95" w:rsidRPr="00B41231">
              <w:rPr>
                <w:rStyle w:val="NormalCharacter"/>
                <w:rFonts w:ascii="宋体" w:hAnsi="宋体"/>
                <w:bCs/>
                <w:iCs/>
                <w:sz w:val="28"/>
                <w:szCs w:val="28"/>
              </w:rPr>
              <w:t>、景熙资产、基石资本、华安资产、海宁拾贝投资、广东民营投资股份公司、</w:t>
            </w:r>
            <w:proofErr w:type="gramStart"/>
            <w:r w:rsidR="00B62D95" w:rsidRPr="00B41231">
              <w:rPr>
                <w:rStyle w:val="NormalCharacter"/>
                <w:rFonts w:ascii="宋体" w:hAnsi="宋体"/>
                <w:bCs/>
                <w:iCs/>
                <w:sz w:val="28"/>
                <w:szCs w:val="28"/>
              </w:rPr>
              <w:t>观富资产</w:t>
            </w:r>
            <w:proofErr w:type="gramEnd"/>
            <w:r w:rsidR="00B62D95" w:rsidRPr="00B41231">
              <w:rPr>
                <w:rStyle w:val="NormalCharacter"/>
                <w:rFonts w:ascii="宋体" w:hAnsi="宋体"/>
                <w:bCs/>
                <w:iCs/>
                <w:sz w:val="28"/>
                <w:szCs w:val="28"/>
              </w:rPr>
              <w:t>、高特佳投资、丰沛投资、东方马拉松投资、</w:t>
            </w:r>
            <w:proofErr w:type="gramStart"/>
            <w:r w:rsidR="00B62D95" w:rsidRPr="00B41231">
              <w:rPr>
                <w:rStyle w:val="NormalCharacter"/>
                <w:rFonts w:ascii="宋体" w:hAnsi="宋体"/>
                <w:bCs/>
                <w:iCs/>
                <w:sz w:val="28"/>
                <w:szCs w:val="28"/>
              </w:rPr>
              <w:t>创瑞投资</w:t>
            </w:r>
            <w:proofErr w:type="gramEnd"/>
            <w:r w:rsidR="00B62D95" w:rsidRPr="00B41231">
              <w:rPr>
                <w:rStyle w:val="NormalCharacter"/>
                <w:rFonts w:ascii="宋体" w:hAnsi="宋体"/>
                <w:bCs/>
                <w:iCs/>
                <w:sz w:val="28"/>
                <w:szCs w:val="28"/>
              </w:rPr>
              <w:t>、</w:t>
            </w:r>
            <w:proofErr w:type="gramStart"/>
            <w:r w:rsidR="00B62D95" w:rsidRPr="00B41231">
              <w:rPr>
                <w:rStyle w:val="NormalCharacter"/>
                <w:rFonts w:ascii="宋体" w:hAnsi="宋体"/>
                <w:bCs/>
                <w:iCs/>
                <w:sz w:val="28"/>
                <w:szCs w:val="28"/>
              </w:rPr>
              <w:t>博裕投资</w:t>
            </w:r>
            <w:proofErr w:type="gramEnd"/>
            <w:r w:rsidR="00B62D95" w:rsidRPr="00B41231">
              <w:rPr>
                <w:rStyle w:val="NormalCharacter"/>
                <w:rFonts w:ascii="宋体" w:hAnsi="宋体"/>
                <w:bCs/>
                <w:iCs/>
                <w:sz w:val="28"/>
                <w:szCs w:val="28"/>
              </w:rPr>
              <w:t>、</w:t>
            </w:r>
            <w:proofErr w:type="gramStart"/>
            <w:r w:rsidR="00B62D95" w:rsidRPr="00B41231">
              <w:rPr>
                <w:rStyle w:val="NormalCharacter"/>
                <w:rFonts w:ascii="宋体" w:hAnsi="宋体"/>
                <w:bCs/>
                <w:iCs/>
                <w:sz w:val="28"/>
                <w:szCs w:val="28"/>
              </w:rPr>
              <w:t>博润投资</w:t>
            </w:r>
            <w:proofErr w:type="gramEnd"/>
            <w:r w:rsidR="00B62D95" w:rsidRPr="00B41231">
              <w:rPr>
                <w:rStyle w:val="NormalCharacter"/>
                <w:rFonts w:ascii="宋体" w:hAnsi="宋体"/>
                <w:bCs/>
                <w:iCs/>
                <w:sz w:val="28"/>
                <w:szCs w:val="28"/>
              </w:rPr>
              <w:t>、北京正格资本、安中投资、sectoral  access management、Marshall Wace - Asia</w:t>
            </w:r>
          </w:p>
          <w:p w14:paraId="4ADEB824" w14:textId="74D209CD" w:rsidR="00BA7AC5" w:rsidRDefault="00947E1F" w:rsidP="00416628">
            <w:pPr>
              <w:ind w:firstLineChars="200" w:firstLine="560"/>
              <w:rPr>
                <w:rStyle w:val="NormalCharacter"/>
                <w:rFonts w:ascii="宋体" w:hAnsi="宋体"/>
                <w:kern w:val="0"/>
                <w:sz w:val="28"/>
                <w:szCs w:val="28"/>
              </w:rPr>
            </w:pPr>
            <w:r w:rsidRPr="00B41231">
              <w:rPr>
                <w:rStyle w:val="NormalCharacter"/>
                <w:rFonts w:ascii="宋体" w:hAnsi="宋体" w:hint="eastAsia"/>
                <w:bCs/>
                <w:iCs/>
                <w:sz w:val="28"/>
                <w:szCs w:val="28"/>
              </w:rPr>
              <w:t>参会人员合计约1</w:t>
            </w:r>
            <w:r w:rsidRPr="00B41231">
              <w:rPr>
                <w:rStyle w:val="NormalCharacter"/>
                <w:rFonts w:ascii="宋体" w:hAnsi="宋体"/>
                <w:bCs/>
                <w:iCs/>
                <w:sz w:val="28"/>
                <w:szCs w:val="28"/>
              </w:rPr>
              <w:t>80</w:t>
            </w:r>
            <w:r w:rsidRPr="00B41231">
              <w:rPr>
                <w:rStyle w:val="NormalCharacter"/>
                <w:rFonts w:ascii="宋体" w:hAnsi="宋体" w:hint="eastAsia"/>
                <w:bCs/>
                <w:iCs/>
                <w:sz w:val="28"/>
                <w:szCs w:val="28"/>
              </w:rPr>
              <w:t>人。</w:t>
            </w:r>
            <w:bookmarkEnd w:id="0"/>
          </w:p>
        </w:tc>
      </w:tr>
      <w:tr w:rsidR="00BA7AC5" w14:paraId="1CB9AD08" w14:textId="77777777">
        <w:tc>
          <w:tcPr>
            <w:tcW w:w="1242" w:type="dxa"/>
            <w:tcBorders>
              <w:top w:val="single" w:sz="4" w:space="0" w:color="000000"/>
              <w:left w:val="single" w:sz="4" w:space="0" w:color="000000"/>
              <w:bottom w:val="single" w:sz="4" w:space="0" w:color="000000"/>
              <w:right w:val="single" w:sz="4" w:space="0" w:color="000000"/>
            </w:tcBorders>
          </w:tcPr>
          <w:p w14:paraId="2273814C"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lastRenderedPageBreak/>
              <w:t>时间</w:t>
            </w:r>
          </w:p>
        </w:tc>
        <w:tc>
          <w:tcPr>
            <w:tcW w:w="7302" w:type="dxa"/>
            <w:tcBorders>
              <w:top w:val="single" w:sz="4" w:space="0" w:color="000000"/>
              <w:left w:val="single" w:sz="4" w:space="0" w:color="000000"/>
              <w:bottom w:val="single" w:sz="4" w:space="0" w:color="000000"/>
              <w:right w:val="single" w:sz="4" w:space="0" w:color="000000"/>
            </w:tcBorders>
          </w:tcPr>
          <w:p w14:paraId="44341295" w14:textId="77777777" w:rsidR="00BA7AC5" w:rsidRDefault="00687F20" w:rsidP="00416628">
            <w:pPr>
              <w:rPr>
                <w:rStyle w:val="NormalCharacter"/>
                <w:rFonts w:ascii="宋体" w:hAnsi="宋体"/>
                <w:bCs/>
                <w:iCs/>
                <w:sz w:val="28"/>
                <w:szCs w:val="28"/>
              </w:rPr>
            </w:pPr>
            <w:r w:rsidRPr="0022399F">
              <w:rPr>
                <w:rStyle w:val="NormalCharacter"/>
                <w:rFonts w:ascii="宋体" w:hAnsi="宋体"/>
                <w:bCs/>
                <w:iCs/>
                <w:sz w:val="28"/>
                <w:szCs w:val="28"/>
              </w:rPr>
              <w:t>2</w:t>
            </w:r>
            <w:r w:rsidR="00CA18E0">
              <w:rPr>
                <w:rStyle w:val="NormalCharacter"/>
                <w:rFonts w:ascii="宋体" w:hAnsi="宋体"/>
                <w:bCs/>
                <w:iCs/>
                <w:sz w:val="28"/>
                <w:szCs w:val="28"/>
              </w:rPr>
              <w:t>020</w:t>
            </w:r>
            <w:r w:rsidR="00A900CE" w:rsidRPr="0022399F">
              <w:rPr>
                <w:rStyle w:val="NormalCharacter"/>
                <w:rFonts w:ascii="宋体" w:hAnsi="宋体"/>
                <w:bCs/>
                <w:iCs/>
                <w:sz w:val="28"/>
                <w:szCs w:val="28"/>
              </w:rPr>
              <w:t>年</w:t>
            </w:r>
            <w:r w:rsidR="00CA18E0">
              <w:rPr>
                <w:rStyle w:val="NormalCharacter"/>
                <w:rFonts w:ascii="宋体" w:hAnsi="宋体"/>
                <w:bCs/>
                <w:iCs/>
                <w:sz w:val="28"/>
                <w:szCs w:val="28"/>
              </w:rPr>
              <w:t>1</w:t>
            </w:r>
            <w:r w:rsidR="00A900CE" w:rsidRPr="0022399F">
              <w:rPr>
                <w:rStyle w:val="NormalCharacter"/>
                <w:rFonts w:ascii="宋体" w:hAnsi="宋体"/>
                <w:bCs/>
                <w:iCs/>
                <w:sz w:val="28"/>
                <w:szCs w:val="28"/>
              </w:rPr>
              <w:t>月</w:t>
            </w:r>
            <w:r w:rsidR="00CA18E0">
              <w:rPr>
                <w:rStyle w:val="NormalCharacter"/>
                <w:rFonts w:ascii="宋体" w:hAnsi="宋体"/>
                <w:bCs/>
                <w:iCs/>
                <w:sz w:val="28"/>
                <w:szCs w:val="28"/>
              </w:rPr>
              <w:t>19</w:t>
            </w:r>
            <w:r w:rsidR="00A900CE" w:rsidRPr="0022399F">
              <w:rPr>
                <w:rStyle w:val="NormalCharacter"/>
                <w:rFonts w:ascii="宋体" w:hAnsi="宋体"/>
                <w:bCs/>
                <w:iCs/>
                <w:sz w:val="28"/>
                <w:szCs w:val="28"/>
              </w:rPr>
              <w:t xml:space="preserve">日 </w:t>
            </w:r>
          </w:p>
        </w:tc>
      </w:tr>
      <w:tr w:rsidR="00BA7AC5" w14:paraId="5D69D5D7" w14:textId="77777777">
        <w:tc>
          <w:tcPr>
            <w:tcW w:w="1242" w:type="dxa"/>
            <w:tcBorders>
              <w:top w:val="single" w:sz="4" w:space="0" w:color="000000"/>
              <w:left w:val="single" w:sz="4" w:space="0" w:color="000000"/>
              <w:bottom w:val="single" w:sz="4" w:space="0" w:color="000000"/>
              <w:right w:val="single" w:sz="4" w:space="0" w:color="000000"/>
            </w:tcBorders>
          </w:tcPr>
          <w:p w14:paraId="1A2FC9A6"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地点</w:t>
            </w:r>
          </w:p>
        </w:tc>
        <w:tc>
          <w:tcPr>
            <w:tcW w:w="7302" w:type="dxa"/>
            <w:tcBorders>
              <w:top w:val="single" w:sz="4" w:space="0" w:color="000000"/>
              <w:left w:val="single" w:sz="4" w:space="0" w:color="000000"/>
              <w:bottom w:val="single" w:sz="4" w:space="0" w:color="000000"/>
              <w:right w:val="single" w:sz="4" w:space="0" w:color="000000"/>
            </w:tcBorders>
          </w:tcPr>
          <w:p w14:paraId="3657B28F"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公司会议室</w:t>
            </w:r>
          </w:p>
        </w:tc>
      </w:tr>
      <w:tr w:rsidR="00BA7AC5" w14:paraId="6171E8E9" w14:textId="77777777">
        <w:tc>
          <w:tcPr>
            <w:tcW w:w="1242" w:type="dxa"/>
            <w:tcBorders>
              <w:top w:val="single" w:sz="4" w:space="0" w:color="000000"/>
              <w:left w:val="single" w:sz="4" w:space="0" w:color="000000"/>
              <w:bottom w:val="single" w:sz="4" w:space="0" w:color="000000"/>
              <w:right w:val="single" w:sz="4" w:space="0" w:color="000000"/>
            </w:tcBorders>
          </w:tcPr>
          <w:p w14:paraId="403D744B"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lastRenderedPageBreak/>
              <w:t>上市公司接待人员姓名</w:t>
            </w:r>
          </w:p>
        </w:tc>
        <w:tc>
          <w:tcPr>
            <w:tcW w:w="7302" w:type="dxa"/>
            <w:tcBorders>
              <w:top w:val="single" w:sz="4" w:space="0" w:color="000000"/>
              <w:left w:val="single" w:sz="4" w:space="0" w:color="000000"/>
              <w:bottom w:val="single" w:sz="4" w:space="0" w:color="000000"/>
              <w:right w:val="single" w:sz="4" w:space="0" w:color="000000"/>
            </w:tcBorders>
          </w:tcPr>
          <w:p w14:paraId="10A33D43" w14:textId="77777777" w:rsidR="00BA7AC5" w:rsidRDefault="00D91D32" w:rsidP="00416628">
            <w:pPr>
              <w:rPr>
                <w:rStyle w:val="NormalCharacter"/>
                <w:rFonts w:ascii="宋体" w:hAnsi="宋体"/>
                <w:bCs/>
                <w:iCs/>
                <w:sz w:val="28"/>
                <w:szCs w:val="28"/>
              </w:rPr>
            </w:pPr>
            <w:r w:rsidRPr="003225A6">
              <w:rPr>
                <w:rStyle w:val="NormalCharacter"/>
                <w:rFonts w:ascii="宋体" w:hAnsi="宋体"/>
                <w:bCs/>
                <w:iCs/>
                <w:sz w:val="28"/>
                <w:szCs w:val="28"/>
              </w:rPr>
              <w:t>公司</w:t>
            </w:r>
            <w:r w:rsidR="00A62D0B">
              <w:rPr>
                <w:rStyle w:val="NormalCharacter"/>
                <w:rFonts w:ascii="宋体" w:hAnsi="宋体"/>
                <w:bCs/>
                <w:iCs/>
                <w:sz w:val="28"/>
                <w:szCs w:val="28"/>
              </w:rPr>
              <w:t>董事长</w:t>
            </w:r>
            <w:r w:rsidRPr="003225A6">
              <w:rPr>
                <w:rStyle w:val="NormalCharacter"/>
                <w:rFonts w:ascii="宋体" w:hAnsi="宋体"/>
                <w:bCs/>
                <w:iCs/>
                <w:sz w:val="28"/>
                <w:szCs w:val="28"/>
              </w:rPr>
              <w:t>、</w:t>
            </w:r>
            <w:r w:rsidR="00A900CE" w:rsidRPr="0022399F">
              <w:rPr>
                <w:rStyle w:val="NormalCharacter"/>
                <w:rFonts w:ascii="宋体" w:hAnsi="宋体"/>
                <w:bCs/>
                <w:iCs/>
                <w:sz w:val="28"/>
                <w:szCs w:val="28"/>
              </w:rPr>
              <w:t>董事会秘书</w:t>
            </w:r>
          </w:p>
        </w:tc>
      </w:tr>
      <w:tr w:rsidR="00BA7AC5" w14:paraId="305909FB"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6A012DF9"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投资者关系活动主要内容介绍</w:t>
            </w:r>
          </w:p>
        </w:tc>
        <w:tc>
          <w:tcPr>
            <w:tcW w:w="7302" w:type="dxa"/>
            <w:tcBorders>
              <w:top w:val="single" w:sz="4" w:space="0" w:color="000000"/>
              <w:left w:val="single" w:sz="4" w:space="0" w:color="000000"/>
              <w:bottom w:val="single" w:sz="4" w:space="0" w:color="000000"/>
              <w:right w:val="single" w:sz="4" w:space="0" w:color="000000"/>
            </w:tcBorders>
          </w:tcPr>
          <w:p w14:paraId="4A4DA8E9" w14:textId="77777777" w:rsidR="00BA7AC5" w:rsidRDefault="007776D3" w:rsidP="007776D3">
            <w:pPr>
              <w:ind w:firstLineChars="235" w:firstLine="661"/>
              <w:rPr>
                <w:rStyle w:val="NormalCharacter"/>
                <w:rFonts w:ascii="宋体" w:hAnsi="宋体"/>
                <w:b/>
                <w:bCs/>
                <w:iCs/>
                <w:sz w:val="28"/>
                <w:szCs w:val="28"/>
              </w:rPr>
            </w:pPr>
            <w:r>
              <w:rPr>
                <w:rStyle w:val="NormalCharacter"/>
                <w:rFonts w:ascii="宋体" w:hAnsi="宋体"/>
                <w:b/>
                <w:bCs/>
                <w:iCs/>
                <w:sz w:val="28"/>
                <w:szCs w:val="28"/>
              </w:rPr>
              <w:t>一、</w:t>
            </w:r>
            <w:r w:rsidRPr="007776D3">
              <w:rPr>
                <w:rStyle w:val="NormalCharacter"/>
                <w:rFonts w:ascii="宋体" w:hAnsi="宋体"/>
                <w:b/>
                <w:bCs/>
                <w:iCs/>
                <w:sz w:val="28"/>
                <w:szCs w:val="28"/>
              </w:rPr>
              <w:t>公司参与本次招标基本情况</w:t>
            </w:r>
          </w:p>
          <w:p w14:paraId="2055CB5D" w14:textId="77777777"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2020年1月17日，公司全资子公司杭州中美华东制药有限公司参加了国家组织药品集中采购和使用联合采购办公室组织实施的第二批国家组织药品集中采购的投标。中美华东的产品阿卡波糖片（卡博平）参与了本次投标，由于价格因素未能中标。本次该产品</w:t>
            </w:r>
            <w:proofErr w:type="gramStart"/>
            <w:r w:rsidRPr="007776D3">
              <w:rPr>
                <w:rStyle w:val="NormalCharacter"/>
                <w:rFonts w:ascii="宋体" w:hAnsi="宋体"/>
                <w:bCs/>
                <w:iCs/>
                <w:sz w:val="28"/>
                <w:szCs w:val="28"/>
              </w:rPr>
              <w:t>实际拟</w:t>
            </w:r>
            <w:proofErr w:type="gramEnd"/>
            <w:r w:rsidRPr="007776D3">
              <w:rPr>
                <w:rStyle w:val="NormalCharacter"/>
                <w:rFonts w:ascii="宋体" w:hAnsi="宋体"/>
                <w:bCs/>
                <w:iCs/>
                <w:sz w:val="28"/>
                <w:szCs w:val="28"/>
              </w:rPr>
              <w:t>中选企业为2家，首年约定采购量为19.14亿片，采购有效期原则定为2年。</w:t>
            </w:r>
          </w:p>
          <w:p w14:paraId="166764A9" w14:textId="77777777" w:rsidR="00BA7AC5" w:rsidRDefault="00BA7AC5" w:rsidP="007776D3">
            <w:pPr>
              <w:ind w:firstLineChars="200" w:firstLine="560"/>
              <w:rPr>
                <w:rStyle w:val="NormalCharacter"/>
                <w:rFonts w:ascii="宋体" w:hAnsi="宋体"/>
                <w:bCs/>
                <w:iCs/>
                <w:sz w:val="28"/>
                <w:szCs w:val="28"/>
              </w:rPr>
            </w:pPr>
          </w:p>
          <w:p w14:paraId="178D71E0" w14:textId="77777777" w:rsidR="00BA7AC5" w:rsidRDefault="007776D3" w:rsidP="007776D3">
            <w:pPr>
              <w:ind w:firstLineChars="200" w:firstLine="562"/>
              <w:rPr>
                <w:rStyle w:val="NormalCharacter"/>
                <w:rFonts w:ascii="宋体" w:hAnsi="宋体"/>
                <w:b/>
                <w:bCs/>
                <w:iCs/>
                <w:sz w:val="28"/>
                <w:szCs w:val="28"/>
              </w:rPr>
            </w:pPr>
            <w:r w:rsidRPr="007776D3">
              <w:rPr>
                <w:rStyle w:val="NormalCharacter"/>
                <w:rFonts w:ascii="宋体" w:hAnsi="宋体"/>
                <w:b/>
                <w:bCs/>
                <w:iCs/>
                <w:sz w:val="28"/>
                <w:szCs w:val="28"/>
              </w:rPr>
              <w:t>二、董事长吕梁介绍本次招标情况</w:t>
            </w:r>
          </w:p>
          <w:p w14:paraId="285666FB" w14:textId="5E05F0F2" w:rsidR="00BA7AC5" w:rsidRDefault="007776D3" w:rsidP="007776D3">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首先感谢广大投资者对公司参与本次集采招标的关注以及对公司发展的</w:t>
            </w:r>
            <w:r w:rsidR="00B41231">
              <w:rPr>
                <w:rStyle w:val="NormalCharacter"/>
                <w:rFonts w:ascii="宋体" w:hAnsi="宋体" w:hint="eastAsia"/>
                <w:bCs/>
                <w:iCs/>
                <w:sz w:val="28"/>
                <w:szCs w:val="28"/>
              </w:rPr>
              <w:t>关心</w:t>
            </w:r>
            <w:r w:rsidRPr="007776D3">
              <w:rPr>
                <w:rStyle w:val="NormalCharacter"/>
                <w:rFonts w:ascii="宋体" w:hAnsi="宋体"/>
                <w:bCs/>
                <w:iCs/>
                <w:sz w:val="28"/>
                <w:szCs w:val="28"/>
              </w:rPr>
              <w:t>。公司阿卡波糖片虽然在本次国家组织第二批药品集中采购中未中标，但中国糖尿病患者众多，且还在持续增长中，国家对于糖尿病患者的慢病</w:t>
            </w:r>
            <w:proofErr w:type="gramStart"/>
            <w:r w:rsidRPr="007776D3">
              <w:rPr>
                <w:rStyle w:val="NormalCharacter"/>
                <w:rFonts w:ascii="宋体" w:hAnsi="宋体"/>
                <w:bCs/>
                <w:iCs/>
                <w:sz w:val="28"/>
                <w:szCs w:val="28"/>
              </w:rPr>
              <w:t>医保优惠</w:t>
            </w:r>
            <w:proofErr w:type="gramEnd"/>
            <w:r w:rsidRPr="007776D3">
              <w:rPr>
                <w:rStyle w:val="NormalCharacter"/>
                <w:rFonts w:ascii="宋体" w:hAnsi="宋体"/>
                <w:bCs/>
                <w:iCs/>
                <w:sz w:val="28"/>
                <w:szCs w:val="28"/>
              </w:rPr>
              <w:t>政策和卫计部门提升糖尿病治疗率等措施，都会促使整个阿卡</w:t>
            </w:r>
            <w:proofErr w:type="gramStart"/>
            <w:r w:rsidRPr="007776D3">
              <w:rPr>
                <w:rStyle w:val="NormalCharacter"/>
                <w:rFonts w:ascii="宋体" w:hAnsi="宋体"/>
                <w:bCs/>
                <w:iCs/>
                <w:sz w:val="28"/>
                <w:szCs w:val="28"/>
              </w:rPr>
              <w:t>波糖产品</w:t>
            </w:r>
            <w:proofErr w:type="gramEnd"/>
            <w:r w:rsidRPr="007776D3">
              <w:rPr>
                <w:rStyle w:val="NormalCharacter"/>
                <w:rFonts w:ascii="宋体" w:hAnsi="宋体"/>
                <w:bCs/>
                <w:iCs/>
                <w:sz w:val="28"/>
                <w:szCs w:val="28"/>
              </w:rPr>
              <w:t>的市场容量进一步扩大，所以公司对该产品的未来增长仍充满信心。同时，公司在糖尿病领域有比较丰富的产品线，构筑有良好的竞争优势。暂时的失</w:t>
            </w:r>
            <w:proofErr w:type="gramStart"/>
            <w:r w:rsidRPr="007776D3">
              <w:rPr>
                <w:rStyle w:val="NormalCharacter"/>
                <w:rFonts w:ascii="宋体" w:hAnsi="宋体"/>
                <w:bCs/>
                <w:iCs/>
                <w:sz w:val="28"/>
                <w:szCs w:val="28"/>
              </w:rPr>
              <w:t>标对于</w:t>
            </w:r>
            <w:proofErr w:type="gramEnd"/>
            <w:r w:rsidRPr="007776D3">
              <w:rPr>
                <w:rStyle w:val="NormalCharacter"/>
                <w:rFonts w:ascii="宋体" w:hAnsi="宋体"/>
                <w:bCs/>
                <w:iCs/>
                <w:sz w:val="28"/>
                <w:szCs w:val="28"/>
              </w:rPr>
              <w:t>公司糖尿病产品线的发展不会造成根本性的影响。公司未来将按照既定方</w:t>
            </w:r>
            <w:r w:rsidRPr="007776D3">
              <w:rPr>
                <w:rStyle w:val="NormalCharacter"/>
                <w:rFonts w:ascii="宋体" w:hAnsi="宋体"/>
                <w:bCs/>
                <w:iCs/>
                <w:sz w:val="28"/>
                <w:szCs w:val="28"/>
              </w:rPr>
              <w:lastRenderedPageBreak/>
              <w:t>针，继续深耕糖尿病用药领域市场，积极应对</w:t>
            </w:r>
            <w:r w:rsidR="00174794">
              <w:rPr>
                <w:rStyle w:val="NormalCharacter"/>
                <w:rFonts w:ascii="宋体" w:hAnsi="宋体" w:hint="eastAsia"/>
                <w:bCs/>
                <w:iCs/>
                <w:sz w:val="28"/>
                <w:szCs w:val="28"/>
              </w:rPr>
              <w:t>政策和</w:t>
            </w:r>
            <w:r w:rsidRPr="007776D3">
              <w:rPr>
                <w:rStyle w:val="NormalCharacter"/>
                <w:rFonts w:ascii="宋体" w:hAnsi="宋体"/>
                <w:bCs/>
                <w:iCs/>
                <w:sz w:val="28"/>
                <w:szCs w:val="28"/>
              </w:rPr>
              <w:t>市场环境变化。</w:t>
            </w:r>
          </w:p>
          <w:p w14:paraId="15B98566" w14:textId="77777777" w:rsidR="00BA7AC5" w:rsidRDefault="007776D3" w:rsidP="007776D3">
            <w:pPr>
              <w:spacing w:before="240" w:after="240"/>
              <w:ind w:firstLineChars="236" w:firstLine="663"/>
              <w:rPr>
                <w:rStyle w:val="NormalCharacter"/>
                <w:rFonts w:ascii="宋体" w:hAnsi="宋体"/>
                <w:b/>
                <w:bCs/>
                <w:iCs/>
                <w:sz w:val="28"/>
                <w:szCs w:val="28"/>
              </w:rPr>
            </w:pPr>
            <w:r w:rsidRPr="007776D3">
              <w:rPr>
                <w:rStyle w:val="NormalCharacter"/>
                <w:rFonts w:ascii="宋体" w:hAnsi="宋体"/>
                <w:b/>
                <w:bCs/>
                <w:iCs/>
                <w:sz w:val="28"/>
                <w:szCs w:val="28"/>
              </w:rPr>
              <w:t>三、问答环节：</w:t>
            </w:r>
          </w:p>
          <w:p w14:paraId="093F6835" w14:textId="77777777" w:rsidR="00BA7AC5" w:rsidRDefault="007776D3" w:rsidP="007776D3">
            <w:pPr>
              <w:spacing w:after="240"/>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t>提问1：公司如何看待这次阿卡</w:t>
            </w:r>
            <w:proofErr w:type="gramStart"/>
            <w:r w:rsidRPr="001959CF">
              <w:rPr>
                <w:rStyle w:val="NormalCharacter"/>
                <w:rFonts w:ascii="宋体" w:hAnsi="宋体"/>
                <w:b/>
                <w:bCs/>
                <w:iCs/>
                <w:sz w:val="28"/>
                <w:szCs w:val="28"/>
              </w:rPr>
              <w:t>波糖集</w:t>
            </w:r>
            <w:proofErr w:type="gramEnd"/>
            <w:r w:rsidRPr="001959CF">
              <w:rPr>
                <w:rStyle w:val="NormalCharacter"/>
                <w:rFonts w:ascii="宋体" w:hAnsi="宋体"/>
                <w:b/>
                <w:bCs/>
                <w:iCs/>
                <w:sz w:val="28"/>
                <w:szCs w:val="28"/>
              </w:rPr>
              <w:t>采招标？本次失</w:t>
            </w:r>
            <w:proofErr w:type="gramStart"/>
            <w:r w:rsidRPr="001959CF">
              <w:rPr>
                <w:rStyle w:val="NormalCharacter"/>
                <w:rFonts w:ascii="宋体" w:hAnsi="宋体"/>
                <w:b/>
                <w:bCs/>
                <w:iCs/>
                <w:sz w:val="28"/>
                <w:szCs w:val="28"/>
              </w:rPr>
              <w:t>标是否</w:t>
            </w:r>
            <w:proofErr w:type="gramEnd"/>
            <w:r w:rsidRPr="001959CF">
              <w:rPr>
                <w:rStyle w:val="NormalCharacter"/>
                <w:rFonts w:ascii="宋体" w:hAnsi="宋体"/>
                <w:b/>
                <w:bCs/>
                <w:iCs/>
                <w:sz w:val="28"/>
                <w:szCs w:val="28"/>
              </w:rPr>
              <w:t>对公司相关生产、销售环节造成影响？后续规划如何？是否考虑外售阿卡波糖原料药？</w:t>
            </w:r>
          </w:p>
          <w:p w14:paraId="608D7E09" w14:textId="77777777"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答：（1）公司非常重视这次集采招标，也非常关注未来国家政策的变化。最终报价也是结合公司的产品战略</w:t>
            </w:r>
            <w:r w:rsidR="005F323C">
              <w:rPr>
                <w:rStyle w:val="NormalCharacter"/>
                <w:rFonts w:ascii="宋体" w:hAnsi="宋体"/>
                <w:bCs/>
                <w:iCs/>
                <w:sz w:val="28"/>
                <w:szCs w:val="28"/>
              </w:rPr>
              <w:t>和对整体市场形势判断</w:t>
            </w:r>
            <w:r w:rsidRPr="007776D3">
              <w:rPr>
                <w:rStyle w:val="NormalCharacter"/>
                <w:rFonts w:ascii="宋体" w:hAnsi="宋体"/>
                <w:bCs/>
                <w:iCs/>
                <w:sz w:val="28"/>
                <w:szCs w:val="28"/>
              </w:rPr>
              <w:t>进行了充分测算和预判做出的，</w:t>
            </w:r>
            <w:r w:rsidR="006C3FF9">
              <w:rPr>
                <w:rStyle w:val="NormalCharacter"/>
                <w:rFonts w:ascii="宋体" w:hAnsi="宋体"/>
                <w:bCs/>
                <w:iCs/>
                <w:sz w:val="28"/>
                <w:szCs w:val="28"/>
              </w:rPr>
              <w:t>招标</w:t>
            </w:r>
            <w:r w:rsidRPr="007776D3">
              <w:rPr>
                <w:rStyle w:val="NormalCharacter"/>
                <w:rFonts w:ascii="宋体" w:hAnsi="宋体"/>
                <w:bCs/>
                <w:iCs/>
                <w:sz w:val="28"/>
                <w:szCs w:val="28"/>
              </w:rPr>
              <w:t>结果实际最终对企业的影响还要根据各省市的落地政策情况去判断，目前公司整体思路就是积极应对。</w:t>
            </w:r>
          </w:p>
          <w:p w14:paraId="2F2915BC" w14:textId="1CD9A993"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（2）公司的销售团队为公司实现快速发展起到重要作用，</w:t>
            </w:r>
            <w:r w:rsidR="008301F4">
              <w:rPr>
                <w:rStyle w:val="NormalCharacter"/>
                <w:rFonts w:ascii="宋体" w:hAnsi="宋体"/>
                <w:bCs/>
                <w:iCs/>
                <w:sz w:val="28"/>
                <w:szCs w:val="28"/>
              </w:rPr>
              <w:t>是公司的宝贵财富，</w:t>
            </w:r>
            <w:r w:rsidRPr="007776D3">
              <w:rPr>
                <w:rStyle w:val="NormalCharacter"/>
                <w:rFonts w:ascii="宋体" w:hAnsi="宋体"/>
                <w:bCs/>
                <w:iCs/>
                <w:sz w:val="28"/>
                <w:szCs w:val="28"/>
              </w:rPr>
              <w:t>未来将根据市场情况和公司自身产品发展的需要和战略进行相关组织机构的整合。目前公司在基层市场的覆盖率还没有达到目标，公司计划要在全国县级医院达到70%以上的覆盖。此外，公司在糖尿病管线储备有20多个品种，还有三个创新药以及肿瘤、心血管、</w:t>
            </w:r>
            <w:proofErr w:type="gramStart"/>
            <w:r w:rsidRPr="007776D3">
              <w:rPr>
                <w:rStyle w:val="NormalCharacter"/>
                <w:rFonts w:ascii="宋体" w:hAnsi="宋体"/>
                <w:bCs/>
                <w:iCs/>
                <w:sz w:val="28"/>
                <w:szCs w:val="28"/>
              </w:rPr>
              <w:t>超抗等</w:t>
            </w:r>
            <w:proofErr w:type="gramEnd"/>
            <w:r w:rsidRPr="007776D3">
              <w:rPr>
                <w:rStyle w:val="NormalCharacter"/>
                <w:rFonts w:ascii="宋体" w:hAnsi="宋体"/>
                <w:bCs/>
                <w:iCs/>
                <w:sz w:val="28"/>
                <w:szCs w:val="28"/>
              </w:rPr>
              <w:t>领域的品种会陆续申报上市，</w:t>
            </w:r>
            <w:proofErr w:type="gramStart"/>
            <w:r w:rsidRPr="007776D3">
              <w:rPr>
                <w:rStyle w:val="NormalCharacter"/>
                <w:rFonts w:ascii="宋体" w:hAnsi="宋体"/>
                <w:bCs/>
                <w:iCs/>
                <w:sz w:val="28"/>
                <w:szCs w:val="28"/>
              </w:rPr>
              <w:t>后续仍</w:t>
            </w:r>
            <w:proofErr w:type="gramEnd"/>
            <w:r w:rsidRPr="007776D3">
              <w:rPr>
                <w:rStyle w:val="NormalCharacter"/>
                <w:rFonts w:ascii="宋体" w:hAnsi="宋体"/>
                <w:bCs/>
                <w:iCs/>
                <w:sz w:val="28"/>
                <w:szCs w:val="28"/>
              </w:rPr>
              <w:t>需要增加</w:t>
            </w:r>
            <w:r w:rsidR="00174794">
              <w:rPr>
                <w:rStyle w:val="NormalCharacter"/>
                <w:rFonts w:ascii="宋体" w:hAnsi="宋体" w:hint="eastAsia"/>
                <w:bCs/>
                <w:iCs/>
                <w:sz w:val="28"/>
                <w:szCs w:val="28"/>
              </w:rPr>
              <w:t>临床学术</w:t>
            </w:r>
            <w:r w:rsidRPr="007776D3">
              <w:rPr>
                <w:rStyle w:val="NormalCharacter"/>
                <w:rFonts w:ascii="宋体" w:hAnsi="宋体"/>
                <w:bCs/>
                <w:iCs/>
                <w:sz w:val="28"/>
                <w:szCs w:val="28"/>
              </w:rPr>
              <w:t>人员</w:t>
            </w:r>
            <w:r w:rsidR="00174794">
              <w:rPr>
                <w:rStyle w:val="NormalCharacter"/>
                <w:rFonts w:ascii="宋体" w:hAnsi="宋体" w:hint="eastAsia"/>
                <w:bCs/>
                <w:iCs/>
                <w:sz w:val="28"/>
                <w:szCs w:val="28"/>
              </w:rPr>
              <w:t>和</w:t>
            </w:r>
            <w:r w:rsidR="00174794" w:rsidRPr="007776D3">
              <w:rPr>
                <w:rStyle w:val="NormalCharacter"/>
                <w:rFonts w:ascii="宋体" w:hAnsi="宋体"/>
                <w:bCs/>
                <w:iCs/>
                <w:sz w:val="28"/>
                <w:szCs w:val="28"/>
              </w:rPr>
              <w:t>药学服务人员</w:t>
            </w:r>
            <w:r w:rsidR="006C3FF9">
              <w:rPr>
                <w:rStyle w:val="NormalCharacter"/>
                <w:rFonts w:ascii="宋体" w:hAnsi="宋体"/>
                <w:bCs/>
                <w:iCs/>
                <w:sz w:val="28"/>
                <w:szCs w:val="28"/>
              </w:rPr>
              <w:t>在</w:t>
            </w:r>
            <w:r w:rsidRPr="007776D3">
              <w:rPr>
                <w:rStyle w:val="NormalCharacter"/>
                <w:rFonts w:ascii="宋体" w:hAnsi="宋体"/>
                <w:bCs/>
                <w:iCs/>
                <w:sz w:val="28"/>
                <w:szCs w:val="28"/>
              </w:rPr>
              <w:t>创新药</w:t>
            </w:r>
            <w:r w:rsidR="006C3FF9">
              <w:rPr>
                <w:rStyle w:val="NormalCharacter"/>
                <w:rFonts w:ascii="宋体" w:hAnsi="宋体"/>
                <w:bCs/>
                <w:iCs/>
                <w:sz w:val="28"/>
                <w:szCs w:val="28"/>
              </w:rPr>
              <w:t>上市后开展</w:t>
            </w:r>
            <w:r w:rsidRPr="007776D3">
              <w:rPr>
                <w:rStyle w:val="NormalCharacter"/>
                <w:rFonts w:ascii="宋体" w:hAnsi="宋体"/>
                <w:bCs/>
                <w:iCs/>
                <w:sz w:val="28"/>
                <w:szCs w:val="28"/>
              </w:rPr>
              <w:t>市场推广及相应的客户服务工作。</w:t>
            </w:r>
          </w:p>
          <w:p w14:paraId="56338771" w14:textId="77777777"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lastRenderedPageBreak/>
              <w:t>（3）</w:t>
            </w:r>
            <w:r w:rsidR="005F323C" w:rsidRPr="005F323C">
              <w:rPr>
                <w:rStyle w:val="NormalCharacter"/>
                <w:rFonts w:ascii="宋体" w:hAnsi="宋体"/>
                <w:bCs/>
                <w:iCs/>
                <w:sz w:val="28"/>
                <w:szCs w:val="28"/>
              </w:rPr>
              <w:t>阿卡波糖是公司的一个战略核心品种，对公司很重要，但不是公司产品的全部</w:t>
            </w:r>
            <w:r w:rsidR="005F323C">
              <w:rPr>
                <w:rStyle w:val="NormalCharacter"/>
                <w:rFonts w:ascii="宋体" w:hAnsi="宋体"/>
                <w:bCs/>
                <w:iCs/>
                <w:sz w:val="28"/>
                <w:szCs w:val="28"/>
              </w:rPr>
              <w:t>，这次未能中标也不意味着会失去整个</w:t>
            </w:r>
            <w:r w:rsidR="00771DB7">
              <w:rPr>
                <w:rStyle w:val="NormalCharacter"/>
                <w:rFonts w:ascii="宋体" w:hAnsi="宋体"/>
                <w:bCs/>
                <w:iCs/>
                <w:sz w:val="28"/>
                <w:szCs w:val="28"/>
              </w:rPr>
              <w:t>中国</w:t>
            </w:r>
            <w:r w:rsidR="005F323C">
              <w:rPr>
                <w:rStyle w:val="NormalCharacter"/>
                <w:rFonts w:ascii="宋体" w:hAnsi="宋体"/>
                <w:bCs/>
                <w:iCs/>
                <w:sz w:val="28"/>
                <w:szCs w:val="28"/>
              </w:rPr>
              <w:t>市场</w:t>
            </w:r>
            <w:r w:rsidR="005F323C" w:rsidRPr="005F323C">
              <w:rPr>
                <w:rStyle w:val="NormalCharacter"/>
                <w:rFonts w:ascii="宋体" w:hAnsi="宋体"/>
                <w:bCs/>
                <w:iCs/>
                <w:sz w:val="28"/>
                <w:szCs w:val="28"/>
              </w:rPr>
              <w:t>。</w:t>
            </w:r>
            <w:r w:rsidRPr="007776D3">
              <w:rPr>
                <w:rStyle w:val="NormalCharacter"/>
                <w:rFonts w:ascii="宋体" w:hAnsi="宋体"/>
                <w:bCs/>
                <w:iCs/>
                <w:sz w:val="28"/>
                <w:szCs w:val="28"/>
              </w:rPr>
              <w:t>阿卡波糖在中国市场，特别是基层市场仍有巨大的发展空间。</w:t>
            </w:r>
          </w:p>
          <w:p w14:paraId="11DFD218" w14:textId="77777777" w:rsidR="00BA7AC5" w:rsidRDefault="005F323C" w:rsidP="005F323C">
            <w:pPr>
              <w:ind w:firstLineChars="200" w:firstLine="560"/>
              <w:rPr>
                <w:rStyle w:val="NormalCharacter"/>
                <w:rFonts w:ascii="宋体" w:hAnsi="宋体"/>
                <w:bCs/>
                <w:iCs/>
                <w:sz w:val="28"/>
                <w:szCs w:val="28"/>
              </w:rPr>
            </w:pPr>
            <w:r w:rsidRPr="005F323C">
              <w:rPr>
                <w:rStyle w:val="NormalCharacter"/>
                <w:rFonts w:ascii="宋体" w:hAnsi="宋体"/>
                <w:bCs/>
                <w:iCs/>
                <w:sz w:val="28"/>
                <w:szCs w:val="28"/>
              </w:rPr>
              <w:t>长期来看，随着国家分级诊疗政策的持续推进，国家对慢病用药</w:t>
            </w:r>
            <w:proofErr w:type="gramStart"/>
            <w:r w:rsidRPr="005F323C">
              <w:rPr>
                <w:rStyle w:val="NormalCharacter"/>
                <w:rFonts w:ascii="宋体" w:hAnsi="宋体"/>
                <w:bCs/>
                <w:iCs/>
                <w:sz w:val="28"/>
                <w:szCs w:val="28"/>
              </w:rPr>
              <w:t>医</w:t>
            </w:r>
            <w:proofErr w:type="gramEnd"/>
            <w:r w:rsidRPr="005F323C">
              <w:rPr>
                <w:rStyle w:val="NormalCharacter"/>
                <w:rFonts w:ascii="宋体" w:hAnsi="宋体"/>
                <w:bCs/>
                <w:iCs/>
                <w:sz w:val="28"/>
                <w:szCs w:val="28"/>
              </w:rPr>
              <w:t>保的优先纳入、报销政策的支持以及基层诊疗率的提升将使更多糖尿病人纳入规范日常治疗的范畴，基层市场用药患者的持续增加，将使阿卡</w:t>
            </w:r>
            <w:proofErr w:type="gramStart"/>
            <w:r w:rsidRPr="005F323C">
              <w:rPr>
                <w:rStyle w:val="NormalCharacter"/>
                <w:rFonts w:ascii="宋体" w:hAnsi="宋体"/>
                <w:bCs/>
                <w:iCs/>
                <w:sz w:val="28"/>
                <w:szCs w:val="28"/>
              </w:rPr>
              <w:t>波糖集</w:t>
            </w:r>
            <w:proofErr w:type="gramEnd"/>
            <w:r w:rsidRPr="005F323C">
              <w:rPr>
                <w:rStyle w:val="NormalCharacter"/>
                <w:rFonts w:ascii="宋体" w:hAnsi="宋体"/>
                <w:bCs/>
                <w:iCs/>
                <w:sz w:val="28"/>
                <w:szCs w:val="28"/>
              </w:rPr>
              <w:t>采以外的市场（包括基层和社区市场、民营医院、OTC市场）迎来快速增长。公司对国内糖尿病药物市场的未来充满信心，也将大有可为。</w:t>
            </w:r>
          </w:p>
          <w:p w14:paraId="528BA69A" w14:textId="77777777" w:rsidR="00BA7AC5" w:rsidRDefault="005F323C" w:rsidP="00B41231">
            <w:pPr>
              <w:ind w:firstLineChars="200" w:firstLine="560"/>
              <w:rPr>
                <w:rStyle w:val="NormalCharacter"/>
                <w:rFonts w:ascii="宋体" w:hAnsi="宋体"/>
                <w:bCs/>
                <w:iCs/>
                <w:sz w:val="28"/>
                <w:szCs w:val="28"/>
              </w:rPr>
            </w:pPr>
            <w:r w:rsidRPr="005F323C">
              <w:rPr>
                <w:rStyle w:val="NormalCharacter"/>
                <w:rFonts w:ascii="宋体" w:hAnsi="宋体"/>
                <w:bCs/>
                <w:iCs/>
                <w:sz w:val="28"/>
                <w:szCs w:val="28"/>
              </w:rPr>
              <w:t>尽管此次未能中标，但中美华东仍然在糖尿病用药领域具备产品管线丰富、原料制剂一体化以及成本和质量的整体优势，并将通过国内最大的阿卡波糖原料产能以更高的生产效率满足持续增长的临床用药需求。</w:t>
            </w:r>
            <w:r w:rsidR="007776D3" w:rsidRPr="007776D3">
              <w:rPr>
                <w:rStyle w:val="NormalCharacter"/>
                <w:rFonts w:ascii="宋体" w:hAnsi="宋体"/>
                <w:bCs/>
                <w:iCs/>
                <w:sz w:val="28"/>
                <w:szCs w:val="28"/>
              </w:rPr>
              <w:t>我们将根据市场情况的变化，不断完善和优化市场策略。集采市场，特别是集</w:t>
            </w:r>
            <w:proofErr w:type="gramStart"/>
            <w:r w:rsidR="007776D3" w:rsidRPr="007776D3">
              <w:rPr>
                <w:rStyle w:val="NormalCharacter"/>
                <w:rFonts w:ascii="宋体" w:hAnsi="宋体"/>
                <w:bCs/>
                <w:iCs/>
                <w:sz w:val="28"/>
                <w:szCs w:val="28"/>
              </w:rPr>
              <w:t>采市场</w:t>
            </w:r>
            <w:proofErr w:type="gramEnd"/>
            <w:r w:rsidR="007776D3" w:rsidRPr="007776D3">
              <w:rPr>
                <w:rStyle w:val="NormalCharacter"/>
                <w:rFonts w:ascii="宋体" w:hAnsi="宋体"/>
                <w:bCs/>
                <w:iCs/>
                <w:sz w:val="28"/>
                <w:szCs w:val="28"/>
              </w:rPr>
              <w:t>以外的基层和院外市场，我们仍将按计划加大推广力度。</w:t>
            </w:r>
          </w:p>
          <w:p w14:paraId="52835183" w14:textId="77777777"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（4）公司没有外销阿卡波糖原料药的计划，且将继续保持与丽珠制药下属的新北江制药公司关于阿卡波糖原料药长期独家供货的战略合作关系。</w:t>
            </w:r>
          </w:p>
          <w:p w14:paraId="12DAFA31" w14:textId="77777777" w:rsidR="00BA7AC5" w:rsidRDefault="007776D3" w:rsidP="007776D3">
            <w:pPr>
              <w:spacing w:after="240"/>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lastRenderedPageBreak/>
              <w:t>提问2：本次阿卡波糖片失标对公司2020年业绩影响如何？</w:t>
            </w:r>
          </w:p>
          <w:p w14:paraId="75BCD6FB" w14:textId="77777777" w:rsidR="00BA7AC5" w:rsidRDefault="007776D3" w:rsidP="007776D3">
            <w:pPr>
              <w:spacing w:before="240"/>
              <w:ind w:firstLineChars="200" w:firstLine="560"/>
              <w:rPr>
                <w:rStyle w:val="NormalCharacter"/>
                <w:rFonts w:ascii="宋体" w:hAnsi="宋体"/>
                <w:bCs/>
                <w:iCs/>
                <w:sz w:val="28"/>
                <w:szCs w:val="28"/>
              </w:rPr>
            </w:pPr>
            <w:r w:rsidRPr="007776D3">
              <w:rPr>
                <w:rStyle w:val="NormalCharacter"/>
                <w:rFonts w:ascii="宋体" w:hAnsi="宋体"/>
                <w:bCs/>
                <w:iCs/>
                <w:sz w:val="28"/>
                <w:szCs w:val="28"/>
              </w:rPr>
              <w:t>答：本次失</w:t>
            </w:r>
            <w:proofErr w:type="gramStart"/>
            <w:r w:rsidRPr="007776D3">
              <w:rPr>
                <w:rStyle w:val="NormalCharacter"/>
                <w:rFonts w:ascii="宋体" w:hAnsi="宋体"/>
                <w:bCs/>
                <w:iCs/>
                <w:sz w:val="28"/>
                <w:szCs w:val="28"/>
              </w:rPr>
              <w:t>标确实</w:t>
            </w:r>
            <w:proofErr w:type="gramEnd"/>
            <w:r w:rsidRPr="007776D3">
              <w:rPr>
                <w:rStyle w:val="NormalCharacter"/>
                <w:rFonts w:ascii="宋体" w:hAnsi="宋体"/>
                <w:bCs/>
                <w:iCs/>
                <w:sz w:val="28"/>
                <w:szCs w:val="28"/>
              </w:rPr>
              <w:t>对公司2020年的销售有一定影响，</w:t>
            </w:r>
            <w:r w:rsidR="006C3FF9">
              <w:rPr>
                <w:rStyle w:val="NormalCharacter"/>
                <w:rFonts w:ascii="宋体" w:hAnsi="宋体"/>
                <w:bCs/>
                <w:iCs/>
                <w:sz w:val="28"/>
                <w:szCs w:val="28"/>
              </w:rPr>
              <w:t>公司也将面临新的市场挑战。</w:t>
            </w:r>
            <w:r w:rsidRPr="007776D3">
              <w:rPr>
                <w:rStyle w:val="NormalCharacter"/>
                <w:rFonts w:ascii="宋体" w:hAnsi="宋体"/>
                <w:bCs/>
                <w:iCs/>
                <w:sz w:val="28"/>
                <w:szCs w:val="28"/>
              </w:rPr>
              <w:t>但综合考虑政策、</w:t>
            </w:r>
            <w:r w:rsidR="006C3FF9">
              <w:rPr>
                <w:rStyle w:val="NormalCharacter"/>
                <w:rFonts w:ascii="宋体" w:hAnsi="宋体"/>
                <w:bCs/>
                <w:iCs/>
                <w:sz w:val="28"/>
                <w:szCs w:val="28"/>
              </w:rPr>
              <w:t>市场需求增长以及公司产能供应</w:t>
            </w:r>
            <w:r w:rsidRPr="007776D3">
              <w:rPr>
                <w:rStyle w:val="NormalCharacter"/>
                <w:rFonts w:ascii="宋体" w:hAnsi="宋体"/>
                <w:bCs/>
                <w:iCs/>
                <w:sz w:val="28"/>
                <w:szCs w:val="28"/>
              </w:rPr>
              <w:t>等多种因素影响，对2020年整体业绩影响目前还很难评估，公司也在努力消化和克服这些影响。从2020全年来看，公司还是有信心争取业绩保持增长。</w:t>
            </w:r>
          </w:p>
          <w:p w14:paraId="68904953" w14:textId="77777777" w:rsidR="00BA7AC5" w:rsidRDefault="007776D3" w:rsidP="007776D3">
            <w:pPr>
              <w:spacing w:after="240"/>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t>提问3：阿卡波糖片降价后未来是否会被伏格</w:t>
            </w:r>
            <w:proofErr w:type="gramStart"/>
            <w:r w:rsidRPr="001959CF">
              <w:rPr>
                <w:rStyle w:val="NormalCharacter"/>
                <w:rFonts w:ascii="宋体" w:hAnsi="宋体"/>
                <w:b/>
                <w:bCs/>
                <w:iCs/>
                <w:sz w:val="28"/>
                <w:szCs w:val="28"/>
              </w:rPr>
              <w:t>列波糖</w:t>
            </w:r>
            <w:proofErr w:type="gramEnd"/>
            <w:r w:rsidRPr="001959CF">
              <w:rPr>
                <w:rStyle w:val="NormalCharacter"/>
                <w:rFonts w:ascii="宋体" w:hAnsi="宋体"/>
                <w:b/>
                <w:bCs/>
                <w:iCs/>
                <w:sz w:val="28"/>
                <w:szCs w:val="28"/>
              </w:rPr>
              <w:t>或阿</w:t>
            </w:r>
            <w:proofErr w:type="gramStart"/>
            <w:r w:rsidRPr="001959CF">
              <w:rPr>
                <w:rStyle w:val="NormalCharacter"/>
                <w:rFonts w:ascii="宋体" w:hAnsi="宋体"/>
                <w:b/>
                <w:bCs/>
                <w:iCs/>
                <w:sz w:val="28"/>
                <w:szCs w:val="28"/>
              </w:rPr>
              <w:t>卡波糖咀嚼</w:t>
            </w:r>
            <w:proofErr w:type="gramEnd"/>
            <w:r w:rsidRPr="001959CF">
              <w:rPr>
                <w:rStyle w:val="NormalCharacter"/>
                <w:rFonts w:ascii="宋体" w:hAnsi="宋体"/>
                <w:b/>
                <w:bCs/>
                <w:iCs/>
                <w:sz w:val="28"/>
                <w:szCs w:val="28"/>
              </w:rPr>
              <w:t>片等其他口服糖尿病用药替代？</w:t>
            </w:r>
          </w:p>
          <w:p w14:paraId="0259F5F5" w14:textId="77777777"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（1）阿卡</w:t>
            </w:r>
            <w:proofErr w:type="gramStart"/>
            <w:r w:rsidRPr="007776D3">
              <w:rPr>
                <w:rStyle w:val="NormalCharacter"/>
                <w:rFonts w:ascii="宋体" w:hAnsi="宋体"/>
                <w:bCs/>
                <w:iCs/>
                <w:sz w:val="28"/>
                <w:szCs w:val="28"/>
              </w:rPr>
              <w:t>波糖作为</w:t>
            </w:r>
            <w:proofErr w:type="gramEnd"/>
            <w:r w:rsidRPr="007776D3">
              <w:rPr>
                <w:rStyle w:val="NormalCharacter"/>
                <w:rFonts w:ascii="宋体" w:hAnsi="宋体"/>
                <w:bCs/>
                <w:iCs/>
                <w:sz w:val="28"/>
                <w:szCs w:val="28"/>
              </w:rPr>
              <w:t>临床一线降糖药，与伏格</w:t>
            </w:r>
            <w:proofErr w:type="gramStart"/>
            <w:r w:rsidRPr="007776D3">
              <w:rPr>
                <w:rStyle w:val="NormalCharacter"/>
                <w:rFonts w:ascii="宋体" w:hAnsi="宋体"/>
                <w:bCs/>
                <w:iCs/>
                <w:sz w:val="28"/>
                <w:szCs w:val="28"/>
              </w:rPr>
              <w:t>列波糖</w:t>
            </w:r>
            <w:proofErr w:type="gramEnd"/>
            <w:r w:rsidRPr="007776D3">
              <w:rPr>
                <w:rStyle w:val="NormalCharacter"/>
                <w:rFonts w:ascii="宋体" w:hAnsi="宋体"/>
                <w:bCs/>
                <w:iCs/>
                <w:sz w:val="28"/>
                <w:szCs w:val="28"/>
              </w:rPr>
              <w:t>这类糖苷酶抑制剂药物相比有一定临床优势</w:t>
            </w:r>
            <w:r w:rsidR="006C3FF9">
              <w:rPr>
                <w:rStyle w:val="NormalCharacter"/>
                <w:rFonts w:ascii="宋体" w:hAnsi="宋体"/>
                <w:bCs/>
                <w:iCs/>
                <w:sz w:val="28"/>
                <w:szCs w:val="28"/>
              </w:rPr>
              <w:t>，且这次招标降价后优势会更加突出</w:t>
            </w:r>
            <w:r w:rsidRPr="007776D3">
              <w:rPr>
                <w:rStyle w:val="NormalCharacter"/>
                <w:rFonts w:ascii="宋体" w:hAnsi="宋体"/>
                <w:bCs/>
                <w:iCs/>
                <w:sz w:val="28"/>
                <w:szCs w:val="28"/>
              </w:rPr>
              <w:t>。</w:t>
            </w:r>
          </w:p>
          <w:p w14:paraId="503D74B2" w14:textId="77777777" w:rsidR="00BA7AC5" w:rsidRPr="00B41231" w:rsidRDefault="007776D3" w:rsidP="005F323C">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（2）阿卡波糖咀嚼片</w:t>
            </w:r>
            <w:r w:rsidR="00771DB7">
              <w:rPr>
                <w:rStyle w:val="NormalCharacter"/>
                <w:rFonts w:ascii="宋体" w:hAnsi="宋体"/>
                <w:bCs/>
                <w:iCs/>
                <w:sz w:val="28"/>
                <w:szCs w:val="28"/>
              </w:rPr>
              <w:t>有一定的差异化优势，但</w:t>
            </w:r>
            <w:r w:rsidRPr="007776D3">
              <w:rPr>
                <w:rStyle w:val="NormalCharacter"/>
                <w:rFonts w:ascii="宋体" w:hAnsi="宋体"/>
                <w:bCs/>
                <w:iCs/>
                <w:sz w:val="28"/>
                <w:szCs w:val="28"/>
              </w:rPr>
              <w:t>不能</w:t>
            </w:r>
            <w:r w:rsidR="006C3FF9">
              <w:rPr>
                <w:rStyle w:val="NormalCharacter"/>
                <w:rFonts w:ascii="宋体" w:hAnsi="宋体"/>
                <w:bCs/>
                <w:iCs/>
                <w:sz w:val="28"/>
                <w:szCs w:val="28"/>
              </w:rPr>
              <w:t>简单</w:t>
            </w:r>
            <w:r w:rsidRPr="007776D3">
              <w:rPr>
                <w:rStyle w:val="NormalCharacter"/>
                <w:rFonts w:ascii="宋体" w:hAnsi="宋体"/>
                <w:bCs/>
                <w:iCs/>
                <w:sz w:val="28"/>
                <w:szCs w:val="28"/>
              </w:rPr>
              <w:t>理解为对阿卡波糖片的替代，阿卡波糖咀嚼片是的国家</w:t>
            </w:r>
            <w:r w:rsidR="00771DB7" w:rsidRPr="007776D3">
              <w:rPr>
                <w:rStyle w:val="NormalCharacter"/>
                <w:rFonts w:ascii="宋体" w:hAnsi="宋体"/>
                <w:bCs/>
                <w:iCs/>
                <w:sz w:val="28"/>
                <w:szCs w:val="28"/>
              </w:rPr>
              <w:t>2.2类</w:t>
            </w:r>
            <w:r w:rsidRPr="007776D3">
              <w:rPr>
                <w:rStyle w:val="NormalCharacter"/>
                <w:rFonts w:ascii="宋体" w:hAnsi="宋体"/>
                <w:bCs/>
                <w:iCs/>
                <w:sz w:val="28"/>
                <w:szCs w:val="28"/>
              </w:rPr>
              <w:t>新药，也获得了临床专家的广泛认可，它在临床疗效上明显优于阿卡波糖，</w:t>
            </w:r>
            <w:r w:rsidR="005F323C">
              <w:rPr>
                <w:rStyle w:val="NormalCharacter"/>
                <w:rFonts w:ascii="宋体" w:hAnsi="宋体"/>
                <w:bCs/>
                <w:iCs/>
                <w:sz w:val="28"/>
                <w:szCs w:val="28"/>
              </w:rPr>
              <w:t>安全性无显著差异，</w:t>
            </w:r>
            <w:r w:rsidR="005F323C" w:rsidRPr="005F323C">
              <w:rPr>
                <w:rStyle w:val="NormalCharacter"/>
                <w:rFonts w:ascii="宋体" w:hAnsi="宋体"/>
                <w:bCs/>
                <w:iCs/>
                <w:sz w:val="28"/>
                <w:szCs w:val="28"/>
              </w:rPr>
              <w:t>并优化了辅料选择与制备工艺，在口腔中咀嚼，能变成更小的颗粒，更快地分散在食物中，进入胃肠道后充分混匀，作用于α-葡萄糖苷酶，能更快更好地发挥作用。用甘露醇取代普通片中不溶于水的辅料（药用淀粉等），消除砂砾感，略带甜味，口感更佳</w:t>
            </w:r>
            <w:r w:rsidR="00771DB7">
              <w:rPr>
                <w:rStyle w:val="NormalCharacter"/>
                <w:rFonts w:ascii="宋体" w:hAnsi="宋体"/>
                <w:bCs/>
                <w:iCs/>
                <w:sz w:val="28"/>
                <w:szCs w:val="28"/>
              </w:rPr>
              <w:t>，</w:t>
            </w:r>
            <w:r w:rsidR="005F323C" w:rsidRPr="005F323C">
              <w:rPr>
                <w:rStyle w:val="NormalCharacter"/>
                <w:rFonts w:ascii="宋体" w:hAnsi="宋体"/>
                <w:bCs/>
                <w:iCs/>
                <w:sz w:val="28"/>
                <w:szCs w:val="28"/>
              </w:rPr>
              <w:t>更适合咀嚼功能不佳的患者，依从性更高。</w:t>
            </w:r>
          </w:p>
          <w:p w14:paraId="60B2AF73" w14:textId="77777777" w:rsidR="00BA7AC5" w:rsidRDefault="007776D3" w:rsidP="00B41231">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lastRenderedPageBreak/>
              <w:t>因此公司将其定位为第2代阿卡波糖。我们预计其在今年将有一个快速放量的过程。</w:t>
            </w:r>
          </w:p>
          <w:p w14:paraId="4201B701" w14:textId="77777777" w:rsidR="00BA7AC5" w:rsidRDefault="007776D3" w:rsidP="007776D3">
            <w:pPr>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t>提问4：公司今年到明年间有哪些品种会进一步补充糖尿病产品管线？TTP273后面还有哪些比较重要的糖尿病产品管线布局？</w:t>
            </w:r>
          </w:p>
          <w:p w14:paraId="56D66E3D" w14:textId="77777777" w:rsidR="00BA7AC5" w:rsidRDefault="00572F16" w:rsidP="007776D3">
            <w:pPr>
              <w:ind w:firstLineChars="200" w:firstLine="560"/>
              <w:rPr>
                <w:rStyle w:val="NormalCharacter"/>
                <w:rFonts w:ascii="宋体" w:hAnsi="宋体"/>
                <w:bCs/>
                <w:iCs/>
                <w:sz w:val="28"/>
                <w:szCs w:val="28"/>
              </w:rPr>
            </w:pPr>
            <w:r>
              <w:rPr>
                <w:rStyle w:val="NormalCharacter"/>
                <w:rFonts w:ascii="宋体" w:hAnsi="宋体"/>
                <w:bCs/>
                <w:iCs/>
                <w:sz w:val="28"/>
                <w:szCs w:val="28"/>
              </w:rPr>
              <w:t>答：</w:t>
            </w:r>
            <w:r w:rsidR="007776D3" w:rsidRPr="007776D3">
              <w:rPr>
                <w:rStyle w:val="NormalCharacter"/>
                <w:rFonts w:ascii="宋体" w:hAnsi="宋体"/>
                <w:bCs/>
                <w:iCs/>
                <w:sz w:val="28"/>
                <w:szCs w:val="28"/>
              </w:rPr>
              <w:t>公司</w:t>
            </w:r>
            <w:r>
              <w:rPr>
                <w:rStyle w:val="NormalCharacter"/>
                <w:rFonts w:ascii="宋体" w:hAnsi="宋体"/>
                <w:bCs/>
                <w:iCs/>
                <w:sz w:val="28"/>
                <w:szCs w:val="28"/>
              </w:rPr>
              <w:t>预计</w:t>
            </w:r>
            <w:r w:rsidR="007776D3" w:rsidRPr="007776D3">
              <w:rPr>
                <w:rStyle w:val="NormalCharacter"/>
                <w:rFonts w:ascii="宋体" w:hAnsi="宋体"/>
                <w:bCs/>
                <w:iCs/>
                <w:sz w:val="28"/>
                <w:szCs w:val="28"/>
              </w:rPr>
              <w:t>今年和明年糖尿病领域</w:t>
            </w:r>
            <w:r>
              <w:rPr>
                <w:rStyle w:val="NormalCharacter"/>
                <w:rFonts w:ascii="宋体" w:hAnsi="宋体"/>
                <w:bCs/>
                <w:iCs/>
                <w:sz w:val="28"/>
                <w:szCs w:val="28"/>
              </w:rPr>
              <w:t>将有几个产品获批上市</w:t>
            </w:r>
            <w:r w:rsidR="007776D3" w:rsidRPr="007776D3">
              <w:rPr>
                <w:rStyle w:val="NormalCharacter"/>
                <w:rFonts w:ascii="宋体" w:hAnsi="宋体"/>
                <w:bCs/>
                <w:iCs/>
                <w:sz w:val="28"/>
                <w:szCs w:val="28"/>
              </w:rPr>
              <w:t>：西格列汀二甲双</w:t>
            </w:r>
            <w:proofErr w:type="gramStart"/>
            <w:r w:rsidR="007776D3" w:rsidRPr="007776D3">
              <w:rPr>
                <w:rStyle w:val="NormalCharacter"/>
                <w:rFonts w:ascii="宋体" w:hAnsi="宋体"/>
                <w:bCs/>
                <w:iCs/>
                <w:sz w:val="28"/>
                <w:szCs w:val="28"/>
              </w:rPr>
              <w:t>胍</w:t>
            </w:r>
            <w:proofErr w:type="gramEnd"/>
            <w:r w:rsidR="007776D3" w:rsidRPr="007776D3">
              <w:rPr>
                <w:rStyle w:val="NormalCharacter"/>
                <w:rFonts w:ascii="宋体" w:hAnsi="宋体"/>
                <w:bCs/>
                <w:iCs/>
                <w:sz w:val="28"/>
                <w:szCs w:val="28"/>
              </w:rPr>
              <w:t>片和</w:t>
            </w:r>
            <w:proofErr w:type="gramStart"/>
            <w:r w:rsidR="007776D3" w:rsidRPr="007776D3">
              <w:rPr>
                <w:rStyle w:val="NormalCharacter"/>
                <w:rFonts w:ascii="宋体" w:hAnsi="宋体"/>
                <w:bCs/>
                <w:iCs/>
                <w:sz w:val="28"/>
                <w:szCs w:val="28"/>
              </w:rPr>
              <w:t>恩格列净二</w:t>
            </w:r>
            <w:proofErr w:type="gramEnd"/>
            <w:r w:rsidR="007776D3" w:rsidRPr="007776D3">
              <w:rPr>
                <w:rStyle w:val="NormalCharacter"/>
                <w:rFonts w:ascii="宋体" w:hAnsi="宋体"/>
                <w:bCs/>
                <w:iCs/>
                <w:sz w:val="28"/>
                <w:szCs w:val="28"/>
              </w:rPr>
              <w:t>甲双</w:t>
            </w:r>
            <w:proofErr w:type="gramStart"/>
            <w:r w:rsidR="007776D3" w:rsidRPr="007776D3">
              <w:rPr>
                <w:rStyle w:val="NormalCharacter"/>
                <w:rFonts w:ascii="宋体" w:hAnsi="宋体"/>
                <w:bCs/>
                <w:iCs/>
                <w:sz w:val="28"/>
                <w:szCs w:val="28"/>
              </w:rPr>
              <w:t>胍</w:t>
            </w:r>
            <w:proofErr w:type="gramEnd"/>
            <w:r w:rsidR="007776D3" w:rsidRPr="007776D3">
              <w:rPr>
                <w:rStyle w:val="NormalCharacter"/>
                <w:rFonts w:ascii="宋体" w:hAnsi="宋体"/>
                <w:bCs/>
                <w:iCs/>
                <w:sz w:val="28"/>
                <w:szCs w:val="28"/>
              </w:rPr>
              <w:t>片</w:t>
            </w:r>
            <w:r>
              <w:rPr>
                <w:rStyle w:val="NormalCharacter"/>
                <w:rFonts w:ascii="宋体" w:hAnsi="宋体"/>
                <w:bCs/>
                <w:iCs/>
                <w:sz w:val="28"/>
                <w:szCs w:val="28"/>
              </w:rPr>
              <w:t>以及</w:t>
            </w:r>
            <w:r w:rsidR="007776D3" w:rsidRPr="007776D3">
              <w:rPr>
                <w:rStyle w:val="NormalCharacter"/>
                <w:rFonts w:ascii="宋体" w:hAnsi="宋体"/>
                <w:bCs/>
                <w:iCs/>
                <w:sz w:val="28"/>
                <w:szCs w:val="28"/>
              </w:rPr>
              <w:t>利拉鲁肽</w:t>
            </w:r>
            <w:r>
              <w:rPr>
                <w:rStyle w:val="NormalCharacter"/>
                <w:rFonts w:ascii="宋体" w:hAnsi="宋体"/>
                <w:bCs/>
                <w:iCs/>
                <w:sz w:val="28"/>
                <w:szCs w:val="28"/>
              </w:rPr>
              <w:t>注射剂</w:t>
            </w:r>
            <w:r w:rsidR="007776D3" w:rsidRPr="007776D3">
              <w:rPr>
                <w:rStyle w:val="NormalCharacter"/>
                <w:rFonts w:ascii="宋体" w:hAnsi="宋体"/>
                <w:bCs/>
                <w:iCs/>
                <w:sz w:val="28"/>
                <w:szCs w:val="28"/>
              </w:rPr>
              <w:t>，国际创新药TTP273也启动了1期临床。同时，公司也在积极寻找糖尿病领域的新药和</w:t>
            </w:r>
            <w:r>
              <w:rPr>
                <w:rStyle w:val="NormalCharacter"/>
                <w:rFonts w:ascii="宋体" w:hAnsi="宋体"/>
                <w:bCs/>
                <w:iCs/>
                <w:sz w:val="28"/>
                <w:szCs w:val="28"/>
              </w:rPr>
              <w:t>高端</w:t>
            </w:r>
            <w:r w:rsidR="007776D3" w:rsidRPr="007776D3">
              <w:rPr>
                <w:rStyle w:val="NormalCharacter"/>
                <w:rFonts w:ascii="宋体" w:hAnsi="宋体"/>
                <w:bCs/>
                <w:iCs/>
                <w:sz w:val="28"/>
                <w:szCs w:val="28"/>
              </w:rPr>
              <w:t>仿制药，包括</w:t>
            </w:r>
            <w:r w:rsidR="006C3FF9">
              <w:rPr>
                <w:rStyle w:val="NormalCharacter"/>
                <w:rFonts w:ascii="宋体" w:hAnsi="宋体"/>
                <w:bCs/>
                <w:iCs/>
                <w:sz w:val="28"/>
                <w:szCs w:val="28"/>
              </w:rPr>
              <w:t>长效GLP-1</w:t>
            </w:r>
            <w:r w:rsidR="007776D3" w:rsidRPr="007776D3">
              <w:rPr>
                <w:rStyle w:val="NormalCharacter"/>
                <w:rFonts w:ascii="宋体" w:hAnsi="宋体"/>
                <w:bCs/>
                <w:iCs/>
                <w:sz w:val="28"/>
                <w:szCs w:val="28"/>
              </w:rPr>
              <w:t>索玛鲁肽的相关产品研究，也希望尽快立项并投入研发，我们也建立了高效的BD协同机制，让BD部门更好的与研发部门配合，便于更快速引进全球和国内的领先产品</w:t>
            </w:r>
            <w:r w:rsidR="006C3FF9">
              <w:rPr>
                <w:rStyle w:val="NormalCharacter"/>
                <w:rFonts w:ascii="宋体" w:hAnsi="宋体"/>
                <w:bCs/>
                <w:iCs/>
                <w:sz w:val="28"/>
                <w:szCs w:val="28"/>
              </w:rPr>
              <w:t>，目前一些项目也在跟踪和洽谈中。</w:t>
            </w:r>
          </w:p>
          <w:p w14:paraId="7B5001EF" w14:textId="77777777" w:rsidR="00BA7AC5" w:rsidRDefault="007776D3" w:rsidP="007776D3">
            <w:pPr>
              <w:spacing w:before="240"/>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t>提问5：展望2020年上半年或2020全年，公司会有哪些阶段性研发成果可能落地？</w:t>
            </w:r>
          </w:p>
          <w:p w14:paraId="47671D9E" w14:textId="77777777" w:rsidR="00BA7AC5" w:rsidRDefault="007776D3" w:rsidP="001959CF">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答：2020年公司可能取得阶段性研发成果的产品有：糖尿病类的西格列汀二甲双</w:t>
            </w:r>
            <w:proofErr w:type="gramStart"/>
            <w:r w:rsidRPr="007776D3">
              <w:rPr>
                <w:rStyle w:val="NormalCharacter"/>
                <w:rFonts w:ascii="宋体" w:hAnsi="宋体"/>
                <w:bCs/>
                <w:iCs/>
                <w:sz w:val="28"/>
                <w:szCs w:val="28"/>
              </w:rPr>
              <w:t>胍</w:t>
            </w:r>
            <w:proofErr w:type="gramEnd"/>
            <w:r w:rsidRPr="007776D3">
              <w:rPr>
                <w:rStyle w:val="NormalCharacter"/>
                <w:rFonts w:ascii="宋体" w:hAnsi="宋体"/>
                <w:bCs/>
                <w:iCs/>
                <w:sz w:val="28"/>
                <w:szCs w:val="28"/>
              </w:rPr>
              <w:t>和</w:t>
            </w:r>
            <w:proofErr w:type="gramStart"/>
            <w:r w:rsidRPr="007776D3">
              <w:rPr>
                <w:rStyle w:val="NormalCharacter"/>
                <w:rFonts w:ascii="宋体" w:hAnsi="宋体"/>
                <w:bCs/>
                <w:iCs/>
                <w:sz w:val="28"/>
                <w:szCs w:val="28"/>
              </w:rPr>
              <w:t>恩格列净二</w:t>
            </w:r>
            <w:proofErr w:type="gramEnd"/>
            <w:r w:rsidRPr="007776D3">
              <w:rPr>
                <w:rStyle w:val="NormalCharacter"/>
                <w:rFonts w:ascii="宋体" w:hAnsi="宋体"/>
                <w:bCs/>
                <w:iCs/>
                <w:sz w:val="28"/>
                <w:szCs w:val="28"/>
              </w:rPr>
              <w:t>甲双</w:t>
            </w:r>
            <w:proofErr w:type="gramStart"/>
            <w:r w:rsidRPr="007776D3">
              <w:rPr>
                <w:rStyle w:val="NormalCharacter"/>
                <w:rFonts w:ascii="宋体" w:hAnsi="宋体"/>
                <w:bCs/>
                <w:iCs/>
                <w:sz w:val="28"/>
                <w:szCs w:val="28"/>
              </w:rPr>
              <w:t>胍</w:t>
            </w:r>
            <w:proofErr w:type="gramEnd"/>
            <w:r w:rsidRPr="007776D3">
              <w:rPr>
                <w:rStyle w:val="NormalCharacter"/>
                <w:rFonts w:ascii="宋体" w:hAnsi="宋体"/>
                <w:bCs/>
                <w:iCs/>
                <w:sz w:val="28"/>
                <w:szCs w:val="28"/>
              </w:rPr>
              <w:t>，</w:t>
            </w:r>
            <w:proofErr w:type="gramStart"/>
            <w:r w:rsidRPr="007776D3">
              <w:rPr>
                <w:rStyle w:val="NormalCharacter"/>
                <w:rFonts w:ascii="宋体" w:hAnsi="宋体"/>
                <w:bCs/>
                <w:iCs/>
                <w:sz w:val="28"/>
                <w:szCs w:val="28"/>
              </w:rPr>
              <w:t>超抗类的卡泊芬净</w:t>
            </w:r>
            <w:proofErr w:type="gramEnd"/>
            <w:r w:rsidRPr="007776D3">
              <w:rPr>
                <w:rStyle w:val="NormalCharacter"/>
                <w:rFonts w:ascii="宋体" w:hAnsi="宋体"/>
                <w:bCs/>
                <w:iCs/>
                <w:sz w:val="28"/>
                <w:szCs w:val="28"/>
              </w:rPr>
              <w:t>、米卡芬净，抗肿瘤的来曲</w:t>
            </w:r>
            <w:proofErr w:type="gramStart"/>
            <w:r w:rsidRPr="007776D3">
              <w:rPr>
                <w:rStyle w:val="NormalCharacter"/>
                <w:rFonts w:ascii="宋体" w:hAnsi="宋体"/>
                <w:bCs/>
                <w:iCs/>
                <w:sz w:val="28"/>
                <w:szCs w:val="28"/>
              </w:rPr>
              <w:t>唑</w:t>
            </w:r>
            <w:proofErr w:type="gramEnd"/>
            <w:r w:rsidRPr="007776D3">
              <w:rPr>
                <w:rStyle w:val="NormalCharacter"/>
                <w:rFonts w:ascii="宋体" w:hAnsi="宋体"/>
                <w:bCs/>
                <w:iCs/>
                <w:sz w:val="28"/>
                <w:szCs w:val="28"/>
              </w:rPr>
              <w:t>、阿那曲</w:t>
            </w:r>
            <w:proofErr w:type="gramStart"/>
            <w:r w:rsidRPr="007776D3">
              <w:rPr>
                <w:rStyle w:val="NormalCharacter"/>
                <w:rFonts w:ascii="宋体" w:hAnsi="宋体"/>
                <w:bCs/>
                <w:iCs/>
                <w:sz w:val="28"/>
                <w:szCs w:val="28"/>
              </w:rPr>
              <w:t>唑</w:t>
            </w:r>
            <w:proofErr w:type="gramEnd"/>
            <w:r w:rsidRPr="007776D3">
              <w:rPr>
                <w:rStyle w:val="NormalCharacter"/>
                <w:rFonts w:ascii="宋体" w:hAnsi="宋体"/>
                <w:bCs/>
                <w:iCs/>
                <w:sz w:val="28"/>
                <w:szCs w:val="28"/>
              </w:rPr>
              <w:t>，还有消化道用药奥美拉</w:t>
            </w:r>
            <w:proofErr w:type="gramStart"/>
            <w:r w:rsidRPr="007776D3">
              <w:rPr>
                <w:rStyle w:val="NormalCharacter"/>
                <w:rFonts w:ascii="宋体" w:hAnsi="宋体"/>
                <w:bCs/>
                <w:iCs/>
                <w:sz w:val="28"/>
                <w:szCs w:val="28"/>
              </w:rPr>
              <w:t>唑</w:t>
            </w:r>
            <w:proofErr w:type="gramEnd"/>
            <w:r w:rsidRPr="007776D3">
              <w:rPr>
                <w:rStyle w:val="NormalCharacter"/>
                <w:rFonts w:ascii="宋体" w:hAnsi="宋体"/>
                <w:bCs/>
                <w:iCs/>
                <w:sz w:val="28"/>
                <w:szCs w:val="28"/>
              </w:rPr>
              <w:t>碳酸氢钠胶囊。另外</w:t>
            </w:r>
            <w:r w:rsidR="006C3FF9">
              <w:rPr>
                <w:rStyle w:val="NormalCharacter"/>
                <w:rFonts w:ascii="宋体" w:hAnsi="宋体"/>
                <w:bCs/>
                <w:iCs/>
                <w:sz w:val="28"/>
                <w:szCs w:val="28"/>
              </w:rPr>
              <w:t>他</w:t>
            </w:r>
            <w:proofErr w:type="gramStart"/>
            <w:r w:rsidR="006C3FF9">
              <w:rPr>
                <w:rStyle w:val="NormalCharacter"/>
                <w:rFonts w:ascii="宋体" w:hAnsi="宋体"/>
                <w:bCs/>
                <w:iCs/>
                <w:sz w:val="28"/>
                <w:szCs w:val="28"/>
              </w:rPr>
              <w:t>克莫司</w:t>
            </w:r>
            <w:proofErr w:type="gramEnd"/>
            <w:r w:rsidR="006C3FF9">
              <w:rPr>
                <w:rStyle w:val="NormalCharacter"/>
                <w:rFonts w:ascii="宋体" w:hAnsi="宋体"/>
                <w:bCs/>
                <w:iCs/>
                <w:sz w:val="28"/>
                <w:szCs w:val="28"/>
              </w:rPr>
              <w:t>胶囊</w:t>
            </w:r>
            <w:r w:rsidR="00572F16">
              <w:rPr>
                <w:rStyle w:val="NormalCharacter"/>
                <w:rFonts w:ascii="宋体" w:hAnsi="宋体"/>
                <w:bCs/>
                <w:iCs/>
                <w:sz w:val="28"/>
                <w:szCs w:val="28"/>
              </w:rPr>
              <w:t>有望</w:t>
            </w:r>
            <w:r w:rsidRPr="007776D3">
              <w:rPr>
                <w:rStyle w:val="NormalCharacter"/>
                <w:rFonts w:ascii="宋体" w:hAnsi="宋体"/>
                <w:bCs/>
                <w:iCs/>
                <w:sz w:val="28"/>
                <w:szCs w:val="28"/>
              </w:rPr>
              <w:t>通过美国ANDA认证，成为公司继</w:t>
            </w:r>
            <w:proofErr w:type="gramStart"/>
            <w:r w:rsidRPr="007776D3">
              <w:rPr>
                <w:rStyle w:val="NormalCharacter"/>
                <w:rFonts w:ascii="宋体" w:hAnsi="宋体"/>
                <w:bCs/>
                <w:iCs/>
                <w:sz w:val="28"/>
                <w:szCs w:val="28"/>
              </w:rPr>
              <w:t>泮</w:t>
            </w:r>
            <w:proofErr w:type="gramEnd"/>
            <w:r w:rsidRPr="007776D3">
              <w:rPr>
                <w:rStyle w:val="NormalCharacter"/>
                <w:rFonts w:ascii="宋体" w:hAnsi="宋体"/>
                <w:bCs/>
                <w:iCs/>
                <w:sz w:val="28"/>
                <w:szCs w:val="28"/>
              </w:rPr>
              <w:t>托拉</w:t>
            </w:r>
            <w:proofErr w:type="gramStart"/>
            <w:r w:rsidRPr="007776D3">
              <w:rPr>
                <w:rStyle w:val="NormalCharacter"/>
                <w:rFonts w:ascii="宋体" w:hAnsi="宋体"/>
                <w:bCs/>
                <w:iCs/>
                <w:sz w:val="28"/>
                <w:szCs w:val="28"/>
              </w:rPr>
              <w:t>唑</w:t>
            </w:r>
            <w:proofErr w:type="gramEnd"/>
            <w:r w:rsidRPr="007776D3">
              <w:rPr>
                <w:rStyle w:val="NormalCharacter"/>
                <w:rFonts w:ascii="宋体" w:hAnsi="宋体"/>
                <w:bCs/>
                <w:iCs/>
                <w:sz w:val="28"/>
                <w:szCs w:val="28"/>
              </w:rPr>
              <w:t>冻干粉针之后第2个通过美国ANDA认证的制剂产品</w:t>
            </w:r>
            <w:r w:rsidR="006C3FF9">
              <w:rPr>
                <w:rStyle w:val="NormalCharacter"/>
                <w:rFonts w:ascii="宋体" w:hAnsi="宋体"/>
                <w:bCs/>
                <w:iCs/>
                <w:sz w:val="28"/>
                <w:szCs w:val="28"/>
              </w:rPr>
              <w:t>并开展海外上市销售</w:t>
            </w:r>
            <w:r w:rsidRPr="007776D3">
              <w:rPr>
                <w:rStyle w:val="NormalCharacter"/>
                <w:rFonts w:ascii="宋体" w:hAnsi="宋体"/>
                <w:bCs/>
                <w:iCs/>
                <w:sz w:val="28"/>
                <w:szCs w:val="28"/>
              </w:rPr>
              <w:t xml:space="preserve">。 </w:t>
            </w:r>
          </w:p>
          <w:p w14:paraId="59E81089" w14:textId="77777777" w:rsidR="00BA7AC5" w:rsidRDefault="007776D3" w:rsidP="007776D3">
            <w:pPr>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lastRenderedPageBreak/>
              <w:t>提问6：</w:t>
            </w:r>
            <w:proofErr w:type="gramStart"/>
            <w:r w:rsidRPr="001959CF">
              <w:rPr>
                <w:rStyle w:val="NormalCharacter"/>
                <w:rFonts w:ascii="宋体" w:hAnsi="宋体"/>
                <w:b/>
                <w:bCs/>
                <w:iCs/>
                <w:sz w:val="28"/>
                <w:szCs w:val="28"/>
              </w:rPr>
              <w:t>迈华替尼</w:t>
            </w:r>
            <w:proofErr w:type="gramEnd"/>
            <w:r w:rsidRPr="001959CF">
              <w:rPr>
                <w:rStyle w:val="NormalCharacter"/>
                <w:rFonts w:ascii="宋体" w:hAnsi="宋体"/>
                <w:b/>
                <w:bCs/>
                <w:iCs/>
                <w:sz w:val="28"/>
                <w:szCs w:val="28"/>
              </w:rPr>
              <w:t>研发进展？</w:t>
            </w:r>
          </w:p>
          <w:p w14:paraId="36CF4551" w14:textId="77777777" w:rsidR="00BA7AC5" w:rsidRDefault="00771DB7" w:rsidP="001959CF">
            <w:pPr>
              <w:ind w:firstLineChars="200" w:firstLine="560"/>
              <w:rPr>
                <w:rStyle w:val="NormalCharacter"/>
                <w:rFonts w:ascii="宋体" w:hAnsi="宋体"/>
                <w:bCs/>
                <w:iCs/>
                <w:sz w:val="28"/>
                <w:szCs w:val="28"/>
              </w:rPr>
            </w:pPr>
            <w:r>
              <w:rPr>
                <w:rStyle w:val="NormalCharacter"/>
                <w:rFonts w:ascii="宋体" w:hAnsi="宋体"/>
                <w:bCs/>
                <w:iCs/>
                <w:sz w:val="28"/>
                <w:szCs w:val="28"/>
              </w:rPr>
              <w:t>答：</w:t>
            </w:r>
            <w:r w:rsidR="007776D3" w:rsidRPr="007776D3">
              <w:rPr>
                <w:rStyle w:val="NormalCharacter"/>
                <w:rFonts w:ascii="宋体" w:hAnsi="宋体"/>
                <w:bCs/>
                <w:iCs/>
                <w:sz w:val="28"/>
                <w:szCs w:val="28"/>
              </w:rPr>
              <w:t>公司正在加紧</w:t>
            </w:r>
            <w:proofErr w:type="gramStart"/>
            <w:r w:rsidR="007776D3" w:rsidRPr="007776D3">
              <w:rPr>
                <w:rStyle w:val="NormalCharacter"/>
                <w:rFonts w:ascii="宋体" w:hAnsi="宋体"/>
                <w:bCs/>
                <w:iCs/>
                <w:sz w:val="28"/>
                <w:szCs w:val="28"/>
              </w:rPr>
              <w:t>迈华替尼</w:t>
            </w:r>
            <w:proofErr w:type="gramEnd"/>
            <w:r w:rsidR="007776D3" w:rsidRPr="007776D3">
              <w:rPr>
                <w:rStyle w:val="NormalCharacter"/>
                <w:rFonts w:ascii="宋体" w:hAnsi="宋体"/>
                <w:bCs/>
                <w:iCs/>
                <w:sz w:val="28"/>
                <w:szCs w:val="28"/>
              </w:rPr>
              <w:t>的研发，力争2020年底申报生产。</w:t>
            </w:r>
            <w:proofErr w:type="gramStart"/>
            <w:r w:rsidR="007776D3" w:rsidRPr="007776D3">
              <w:rPr>
                <w:rStyle w:val="NormalCharacter"/>
                <w:rFonts w:ascii="宋体" w:hAnsi="宋体"/>
                <w:bCs/>
                <w:iCs/>
                <w:sz w:val="28"/>
                <w:szCs w:val="28"/>
              </w:rPr>
              <w:t>迈华替尼</w:t>
            </w:r>
            <w:proofErr w:type="gramEnd"/>
            <w:r w:rsidR="007776D3" w:rsidRPr="007776D3">
              <w:rPr>
                <w:rStyle w:val="NormalCharacter"/>
                <w:rFonts w:ascii="宋体" w:hAnsi="宋体"/>
                <w:bCs/>
                <w:iCs/>
                <w:sz w:val="28"/>
                <w:szCs w:val="28"/>
              </w:rPr>
              <w:t>的三期</w:t>
            </w:r>
            <w:proofErr w:type="gramStart"/>
            <w:r w:rsidR="007776D3" w:rsidRPr="007776D3">
              <w:rPr>
                <w:rStyle w:val="NormalCharacter"/>
                <w:rFonts w:ascii="宋体" w:hAnsi="宋体"/>
                <w:bCs/>
                <w:iCs/>
                <w:sz w:val="28"/>
                <w:szCs w:val="28"/>
              </w:rPr>
              <w:t>临床在</w:t>
            </w:r>
            <w:proofErr w:type="gramEnd"/>
            <w:r w:rsidR="007776D3" w:rsidRPr="007776D3">
              <w:rPr>
                <w:rStyle w:val="NormalCharacter"/>
                <w:rFonts w:ascii="宋体" w:hAnsi="宋体"/>
                <w:bCs/>
                <w:iCs/>
                <w:sz w:val="28"/>
                <w:szCs w:val="28"/>
              </w:rPr>
              <w:t>春节以后也会同步开展。从目前的临床的数据看，</w:t>
            </w:r>
            <w:r w:rsidR="00572F16">
              <w:rPr>
                <w:rStyle w:val="NormalCharacter"/>
                <w:rFonts w:ascii="宋体" w:hAnsi="宋体"/>
                <w:bCs/>
                <w:iCs/>
                <w:sz w:val="28"/>
                <w:szCs w:val="28"/>
              </w:rPr>
              <w:t>针对</w:t>
            </w:r>
            <w:r w:rsidR="00572F16" w:rsidRPr="00572F16">
              <w:rPr>
                <w:rStyle w:val="NormalCharacter"/>
                <w:rFonts w:ascii="宋体" w:hAnsi="宋体"/>
                <w:bCs/>
                <w:iCs/>
                <w:sz w:val="28"/>
                <w:szCs w:val="28"/>
              </w:rPr>
              <w:t>治疗晚期非小细胞肺癌</w:t>
            </w:r>
            <w:r w:rsidR="00572F16">
              <w:rPr>
                <w:rStyle w:val="NormalCharacter"/>
                <w:rFonts w:ascii="宋体" w:hAnsi="宋体"/>
                <w:bCs/>
                <w:iCs/>
                <w:sz w:val="28"/>
                <w:szCs w:val="28"/>
              </w:rPr>
              <w:t>罕见基因突变的</w:t>
            </w:r>
            <w:r w:rsidR="007776D3" w:rsidRPr="007776D3">
              <w:rPr>
                <w:rStyle w:val="NormalCharacter"/>
                <w:rFonts w:ascii="宋体" w:hAnsi="宋体"/>
                <w:bCs/>
                <w:iCs/>
                <w:sz w:val="28"/>
                <w:szCs w:val="28"/>
              </w:rPr>
              <w:t>二期临床数据比较理想，公司有信心争取</w:t>
            </w:r>
            <w:proofErr w:type="gramStart"/>
            <w:r w:rsidR="007776D3" w:rsidRPr="007776D3">
              <w:rPr>
                <w:rStyle w:val="NormalCharacter"/>
                <w:rFonts w:ascii="宋体" w:hAnsi="宋体"/>
                <w:bCs/>
                <w:iCs/>
                <w:sz w:val="28"/>
                <w:szCs w:val="28"/>
              </w:rPr>
              <w:t>让迈华替尼</w:t>
            </w:r>
            <w:proofErr w:type="gramEnd"/>
            <w:r w:rsidR="007776D3" w:rsidRPr="007776D3">
              <w:rPr>
                <w:rStyle w:val="NormalCharacter"/>
                <w:rFonts w:ascii="宋体" w:hAnsi="宋体"/>
                <w:bCs/>
                <w:iCs/>
                <w:sz w:val="28"/>
                <w:szCs w:val="28"/>
              </w:rPr>
              <w:t>提前上市。</w:t>
            </w:r>
          </w:p>
          <w:p w14:paraId="48A2FD55" w14:textId="77777777" w:rsidR="00BA7AC5" w:rsidRDefault="007776D3" w:rsidP="007776D3">
            <w:pPr>
              <w:ind w:firstLineChars="200" w:firstLine="562"/>
              <w:rPr>
                <w:rStyle w:val="NormalCharacter"/>
                <w:rFonts w:ascii="宋体" w:hAnsi="宋体"/>
                <w:b/>
                <w:bCs/>
                <w:iCs/>
                <w:sz w:val="28"/>
                <w:szCs w:val="28"/>
              </w:rPr>
            </w:pPr>
            <w:r w:rsidRPr="001959CF">
              <w:rPr>
                <w:rStyle w:val="NormalCharacter"/>
                <w:rFonts w:ascii="宋体" w:hAnsi="宋体"/>
                <w:b/>
                <w:bCs/>
                <w:iCs/>
                <w:sz w:val="28"/>
                <w:szCs w:val="28"/>
              </w:rPr>
              <w:t>提问7：公司未来发展战略介绍。</w:t>
            </w:r>
          </w:p>
          <w:p w14:paraId="2FDD759B" w14:textId="77777777" w:rsidR="00BA7AC5" w:rsidRDefault="007776D3" w:rsidP="007776D3">
            <w:pPr>
              <w:ind w:firstLineChars="200" w:firstLine="560"/>
              <w:rPr>
                <w:rStyle w:val="NormalCharacter"/>
                <w:rFonts w:ascii="宋体" w:hAnsi="宋体"/>
                <w:bCs/>
                <w:iCs/>
                <w:sz w:val="28"/>
                <w:szCs w:val="28"/>
              </w:rPr>
            </w:pPr>
            <w:r w:rsidRPr="007776D3">
              <w:rPr>
                <w:rStyle w:val="NormalCharacter"/>
                <w:rFonts w:ascii="宋体" w:hAnsi="宋体"/>
                <w:bCs/>
                <w:iCs/>
                <w:sz w:val="28"/>
                <w:szCs w:val="28"/>
              </w:rPr>
              <w:t>答：未来，公司将秉持“以患者为中心，以科研为基础，以市场为导向”的经营理念坚定不移深化改革，以更加开放包容的企业文化，成为一家以科研创新驱动的国际化品牌医药强</w:t>
            </w:r>
            <w:proofErr w:type="gramStart"/>
            <w:r w:rsidRPr="007776D3">
              <w:rPr>
                <w:rStyle w:val="NormalCharacter"/>
                <w:rFonts w:ascii="宋体" w:hAnsi="宋体"/>
                <w:bCs/>
                <w:iCs/>
                <w:sz w:val="28"/>
                <w:szCs w:val="28"/>
              </w:rPr>
              <w:t>企</w:t>
            </w:r>
            <w:proofErr w:type="gramEnd"/>
            <w:r w:rsidRPr="007776D3">
              <w:rPr>
                <w:rStyle w:val="NormalCharacter"/>
                <w:rFonts w:ascii="宋体" w:hAnsi="宋体"/>
                <w:bCs/>
                <w:iCs/>
                <w:sz w:val="28"/>
                <w:szCs w:val="28"/>
              </w:rPr>
              <w:t>。</w:t>
            </w:r>
          </w:p>
          <w:p w14:paraId="5DF578F9" w14:textId="77777777" w:rsidR="00BA7AC5" w:rsidRDefault="006C3FF9" w:rsidP="006C3FF9">
            <w:pPr>
              <w:ind w:firstLineChars="100" w:firstLine="281"/>
              <w:rPr>
                <w:rStyle w:val="NormalCharacter"/>
                <w:rFonts w:ascii="宋体" w:hAnsi="宋体"/>
                <w:b/>
                <w:iCs/>
                <w:sz w:val="28"/>
                <w:szCs w:val="28"/>
              </w:rPr>
            </w:pPr>
            <w:r w:rsidRPr="006C3FF9">
              <w:rPr>
                <w:rStyle w:val="NormalCharacter"/>
                <w:rFonts w:ascii="宋体" w:hAnsi="宋体"/>
                <w:b/>
                <w:iCs/>
                <w:sz w:val="28"/>
                <w:szCs w:val="28"/>
              </w:rPr>
              <w:t>提问8：后续阿</w:t>
            </w:r>
            <w:proofErr w:type="gramStart"/>
            <w:r w:rsidRPr="006C3FF9">
              <w:rPr>
                <w:rStyle w:val="NormalCharacter"/>
                <w:rFonts w:ascii="宋体" w:hAnsi="宋体"/>
                <w:b/>
                <w:iCs/>
                <w:sz w:val="28"/>
                <w:szCs w:val="28"/>
              </w:rPr>
              <w:t>卡波糖的</w:t>
            </w:r>
            <w:proofErr w:type="gramEnd"/>
            <w:r w:rsidRPr="006C3FF9">
              <w:rPr>
                <w:rStyle w:val="NormalCharacter"/>
                <w:rFonts w:ascii="宋体" w:hAnsi="宋体"/>
                <w:b/>
                <w:iCs/>
                <w:sz w:val="28"/>
                <w:szCs w:val="28"/>
              </w:rPr>
              <w:t>价格策略和</w:t>
            </w:r>
            <w:proofErr w:type="gramStart"/>
            <w:r w:rsidRPr="006C3FF9">
              <w:rPr>
                <w:rStyle w:val="NormalCharacter"/>
                <w:rFonts w:ascii="宋体" w:hAnsi="宋体"/>
                <w:b/>
                <w:iCs/>
                <w:sz w:val="28"/>
                <w:szCs w:val="28"/>
              </w:rPr>
              <w:t>集采外市场</w:t>
            </w:r>
            <w:proofErr w:type="gramEnd"/>
            <w:r w:rsidRPr="006C3FF9">
              <w:rPr>
                <w:rStyle w:val="NormalCharacter"/>
                <w:rFonts w:ascii="宋体" w:hAnsi="宋体"/>
                <w:b/>
                <w:iCs/>
                <w:sz w:val="28"/>
                <w:szCs w:val="28"/>
              </w:rPr>
              <w:t>的布局？</w:t>
            </w:r>
          </w:p>
          <w:p w14:paraId="2D2ED51B" w14:textId="77777777" w:rsidR="00BA7AC5" w:rsidRDefault="006C3FF9" w:rsidP="00771DB7">
            <w:pPr>
              <w:ind w:firstLineChars="200" w:firstLine="560"/>
              <w:rPr>
                <w:rStyle w:val="NormalCharacter"/>
                <w:rFonts w:ascii="宋体" w:hAnsi="宋体"/>
                <w:bCs/>
                <w:iCs/>
                <w:sz w:val="28"/>
                <w:szCs w:val="28"/>
              </w:rPr>
            </w:pPr>
            <w:r w:rsidRPr="006C3FF9">
              <w:rPr>
                <w:rStyle w:val="NormalCharacter"/>
                <w:rFonts w:ascii="宋体" w:hAnsi="宋体"/>
                <w:bCs/>
                <w:iCs/>
                <w:sz w:val="28"/>
                <w:szCs w:val="28"/>
              </w:rPr>
              <w:t>答：阿卡波糖在中国基层市场仍有巨大发展空间。</w:t>
            </w:r>
            <w:r>
              <w:rPr>
                <w:rStyle w:val="NormalCharacter"/>
                <w:rFonts w:ascii="宋体" w:hAnsi="宋体"/>
                <w:bCs/>
                <w:iCs/>
                <w:sz w:val="28"/>
                <w:szCs w:val="28"/>
              </w:rPr>
              <w:t>公司将</w:t>
            </w:r>
            <w:r w:rsidRPr="006C3FF9">
              <w:rPr>
                <w:rStyle w:val="NormalCharacter"/>
                <w:rFonts w:ascii="宋体" w:hAnsi="宋体"/>
                <w:bCs/>
                <w:iCs/>
                <w:sz w:val="28"/>
                <w:szCs w:val="28"/>
              </w:rPr>
              <w:t>根据市场情况不断完善优化市场策略。</w:t>
            </w:r>
            <w:proofErr w:type="gramStart"/>
            <w:r w:rsidRPr="006C3FF9">
              <w:rPr>
                <w:rStyle w:val="NormalCharacter"/>
                <w:rFonts w:ascii="宋体" w:hAnsi="宋体"/>
                <w:bCs/>
                <w:iCs/>
                <w:sz w:val="28"/>
                <w:szCs w:val="28"/>
              </w:rPr>
              <w:t>集采外市场</w:t>
            </w:r>
            <w:proofErr w:type="gramEnd"/>
            <w:r>
              <w:rPr>
                <w:rStyle w:val="NormalCharacter"/>
                <w:rFonts w:ascii="宋体" w:hAnsi="宋体"/>
                <w:bCs/>
                <w:iCs/>
                <w:sz w:val="28"/>
                <w:szCs w:val="28"/>
              </w:rPr>
              <w:t>总量不低于这次集采的总量，</w:t>
            </w:r>
            <w:r w:rsidRPr="006C3FF9">
              <w:rPr>
                <w:rStyle w:val="NormalCharacter"/>
                <w:rFonts w:ascii="宋体" w:hAnsi="宋体"/>
                <w:bCs/>
                <w:iCs/>
                <w:sz w:val="28"/>
                <w:szCs w:val="28"/>
              </w:rPr>
              <w:t>基层和院外市场仍会按计划加大力度积极开发。</w:t>
            </w:r>
          </w:p>
          <w:p w14:paraId="78B22ED1" w14:textId="77777777" w:rsidR="00BA7AC5" w:rsidRDefault="00BA7AC5" w:rsidP="007776D3">
            <w:pPr>
              <w:ind w:firstLineChars="200" w:firstLine="560"/>
              <w:rPr>
                <w:rStyle w:val="NormalCharacter"/>
                <w:rFonts w:ascii="宋体" w:hAnsi="宋体"/>
                <w:bCs/>
                <w:iCs/>
                <w:sz w:val="28"/>
                <w:szCs w:val="28"/>
              </w:rPr>
            </w:pPr>
          </w:p>
          <w:p w14:paraId="66BB091A" w14:textId="77777777" w:rsidR="00BA7AC5" w:rsidRDefault="00BA7AC5" w:rsidP="00416628">
            <w:pPr>
              <w:rPr>
                <w:rStyle w:val="NormalCharacter"/>
                <w:rFonts w:ascii="宋体" w:hAnsi="宋体"/>
                <w:bCs/>
                <w:iCs/>
                <w:sz w:val="28"/>
                <w:szCs w:val="28"/>
              </w:rPr>
            </w:pPr>
          </w:p>
        </w:tc>
      </w:tr>
      <w:tr w:rsidR="00BA7AC5" w14:paraId="42162870" w14:textId="77777777">
        <w:trPr>
          <w:trHeight w:val="1024"/>
        </w:trPr>
        <w:tc>
          <w:tcPr>
            <w:tcW w:w="1242" w:type="dxa"/>
            <w:tcBorders>
              <w:top w:val="single" w:sz="4" w:space="0" w:color="000000"/>
              <w:left w:val="single" w:sz="4" w:space="0" w:color="000000"/>
              <w:bottom w:val="single" w:sz="4" w:space="0" w:color="000000"/>
              <w:right w:val="single" w:sz="4" w:space="0" w:color="000000"/>
            </w:tcBorders>
            <w:vAlign w:val="center"/>
          </w:tcPr>
          <w:p w14:paraId="62E0AC5C"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4"/>
              </w:rPr>
              <w:lastRenderedPageBreak/>
              <w:t>附件清单（如有）</w:t>
            </w:r>
          </w:p>
        </w:tc>
        <w:tc>
          <w:tcPr>
            <w:tcW w:w="7302" w:type="dxa"/>
            <w:tcBorders>
              <w:top w:val="single" w:sz="4" w:space="0" w:color="000000"/>
              <w:left w:val="single" w:sz="4" w:space="0" w:color="000000"/>
              <w:bottom w:val="single" w:sz="4" w:space="0" w:color="000000"/>
              <w:right w:val="single" w:sz="4" w:space="0" w:color="000000"/>
            </w:tcBorders>
          </w:tcPr>
          <w:p w14:paraId="60413EE1"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无</w:t>
            </w:r>
          </w:p>
        </w:tc>
      </w:tr>
      <w:tr w:rsidR="00BA7AC5" w14:paraId="2815CF1D" w14:textId="77777777">
        <w:tc>
          <w:tcPr>
            <w:tcW w:w="1242" w:type="dxa"/>
            <w:tcBorders>
              <w:top w:val="single" w:sz="4" w:space="0" w:color="000000"/>
              <w:left w:val="single" w:sz="4" w:space="0" w:color="000000"/>
              <w:bottom w:val="single" w:sz="4" w:space="0" w:color="000000"/>
              <w:right w:val="single" w:sz="4" w:space="0" w:color="000000"/>
            </w:tcBorders>
            <w:vAlign w:val="center"/>
          </w:tcPr>
          <w:p w14:paraId="671A1D56" w14:textId="77777777" w:rsidR="00BA7AC5" w:rsidRDefault="00A900CE" w:rsidP="00416628">
            <w:pPr>
              <w:rPr>
                <w:rStyle w:val="NormalCharacter"/>
                <w:rFonts w:ascii="宋体" w:hAnsi="宋体"/>
                <w:bCs/>
                <w:iCs/>
                <w:sz w:val="28"/>
                <w:szCs w:val="28"/>
              </w:rPr>
            </w:pPr>
            <w:r w:rsidRPr="0022399F">
              <w:rPr>
                <w:rStyle w:val="NormalCharacter"/>
                <w:rFonts w:ascii="宋体" w:hAnsi="宋体"/>
                <w:bCs/>
                <w:iCs/>
                <w:sz w:val="28"/>
                <w:szCs w:val="28"/>
              </w:rPr>
              <w:t>日期</w:t>
            </w:r>
          </w:p>
        </w:tc>
        <w:tc>
          <w:tcPr>
            <w:tcW w:w="7302" w:type="dxa"/>
            <w:tcBorders>
              <w:top w:val="single" w:sz="4" w:space="0" w:color="000000"/>
              <w:left w:val="single" w:sz="4" w:space="0" w:color="000000"/>
              <w:bottom w:val="single" w:sz="4" w:space="0" w:color="000000"/>
              <w:right w:val="single" w:sz="4" w:space="0" w:color="000000"/>
            </w:tcBorders>
          </w:tcPr>
          <w:p w14:paraId="6FE46579" w14:textId="77777777" w:rsidR="00BA7AC5" w:rsidRDefault="00687F20" w:rsidP="00416628">
            <w:pPr>
              <w:rPr>
                <w:rStyle w:val="NormalCharacter"/>
                <w:rFonts w:ascii="宋体" w:hAnsi="宋体"/>
                <w:bCs/>
                <w:iCs/>
                <w:sz w:val="28"/>
                <w:szCs w:val="28"/>
              </w:rPr>
            </w:pPr>
            <w:r w:rsidRPr="0022399F">
              <w:rPr>
                <w:rStyle w:val="NormalCharacter"/>
                <w:rFonts w:ascii="宋体" w:hAnsi="宋体"/>
                <w:bCs/>
                <w:iCs/>
                <w:sz w:val="28"/>
                <w:szCs w:val="28"/>
              </w:rPr>
              <w:t>20</w:t>
            </w:r>
            <w:r w:rsidR="00416628">
              <w:rPr>
                <w:rStyle w:val="NormalCharacter"/>
                <w:rFonts w:ascii="宋体" w:hAnsi="宋体"/>
                <w:bCs/>
                <w:iCs/>
                <w:sz w:val="28"/>
                <w:szCs w:val="28"/>
              </w:rPr>
              <w:t>20</w:t>
            </w:r>
            <w:r w:rsidR="00A900CE" w:rsidRPr="0022399F">
              <w:rPr>
                <w:rStyle w:val="NormalCharacter"/>
                <w:rFonts w:ascii="宋体" w:hAnsi="宋体"/>
                <w:bCs/>
                <w:iCs/>
                <w:sz w:val="28"/>
                <w:szCs w:val="28"/>
              </w:rPr>
              <w:t>年</w:t>
            </w:r>
            <w:r w:rsidR="00416628">
              <w:rPr>
                <w:rStyle w:val="NormalCharacter"/>
                <w:rFonts w:ascii="宋体" w:hAnsi="宋体"/>
                <w:bCs/>
                <w:iCs/>
                <w:sz w:val="28"/>
                <w:szCs w:val="28"/>
              </w:rPr>
              <w:t>1</w:t>
            </w:r>
            <w:r w:rsidR="00A900CE" w:rsidRPr="0022399F">
              <w:rPr>
                <w:rStyle w:val="NormalCharacter"/>
                <w:rFonts w:ascii="宋体" w:hAnsi="宋体"/>
                <w:bCs/>
                <w:iCs/>
                <w:sz w:val="28"/>
                <w:szCs w:val="28"/>
              </w:rPr>
              <w:t>月</w:t>
            </w:r>
            <w:r w:rsidR="001959CF">
              <w:rPr>
                <w:rStyle w:val="NormalCharacter"/>
                <w:rFonts w:ascii="宋体" w:hAnsi="宋体"/>
                <w:bCs/>
                <w:iCs/>
                <w:sz w:val="28"/>
                <w:szCs w:val="28"/>
              </w:rPr>
              <w:t>19</w:t>
            </w:r>
            <w:r w:rsidR="00A900CE" w:rsidRPr="0022399F">
              <w:rPr>
                <w:rStyle w:val="NormalCharacter"/>
                <w:rFonts w:ascii="宋体" w:hAnsi="宋体"/>
                <w:bCs/>
                <w:iCs/>
                <w:sz w:val="28"/>
                <w:szCs w:val="28"/>
              </w:rPr>
              <w:t>日</w:t>
            </w:r>
          </w:p>
        </w:tc>
      </w:tr>
    </w:tbl>
    <w:p w14:paraId="67B7649F" w14:textId="77777777" w:rsidR="00BA7AC5" w:rsidRDefault="00BA7AC5" w:rsidP="00416628">
      <w:pPr>
        <w:rPr>
          <w:rStyle w:val="NormalCharacter"/>
        </w:rPr>
      </w:pPr>
    </w:p>
    <w:sectPr w:rsidR="00BA7AC5">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E2911" w14:textId="77777777" w:rsidR="004E08F8" w:rsidRDefault="004E08F8">
      <w:r>
        <w:separator/>
      </w:r>
    </w:p>
  </w:endnote>
  <w:endnote w:type="continuationSeparator" w:id="0">
    <w:p w14:paraId="56914159" w14:textId="77777777" w:rsidR="004E08F8" w:rsidRDefault="004E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464A" w14:textId="77777777" w:rsidR="00BA7AC5" w:rsidRDefault="00BA7AC5">
    <w:pPr>
      <w:pStyle w:val="a6"/>
      <w:framePr w:wrap="around" w:hAnchor="text" w:xAlign="center" w:y="1"/>
      <w:rPr>
        <w:rStyle w:val="PageNumber"/>
      </w:rPr>
    </w:pPr>
  </w:p>
  <w:p w14:paraId="61CC525B" w14:textId="77777777" w:rsidR="00BA7AC5" w:rsidRDefault="00BA7AC5">
    <w:pPr>
      <w:pStyle w:val="a6"/>
      <w:rPr>
        <w:rStyle w:val="NormalCharact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412B" w14:textId="77777777" w:rsidR="00BA7AC5" w:rsidRDefault="00BA7AC5">
    <w:pPr>
      <w:pStyle w:val="a6"/>
      <w:framePr w:wrap="around" w:hAnchor="text" w:xAlign="center" w:y="1"/>
      <w:rPr>
        <w:rStyle w:val="PageNumber"/>
      </w:rPr>
    </w:pPr>
  </w:p>
  <w:p w14:paraId="0776EBC3" w14:textId="77777777" w:rsidR="00BA7AC5" w:rsidRDefault="00BA7AC5">
    <w:pPr>
      <w:pStyle w:val="a6"/>
      <w:rPr>
        <w:rStyle w:val="NormalCharact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F89E" w14:textId="77777777" w:rsidR="004E08F8" w:rsidRDefault="004E08F8">
      <w:r>
        <w:separator/>
      </w:r>
    </w:p>
  </w:footnote>
  <w:footnote w:type="continuationSeparator" w:id="0">
    <w:p w14:paraId="209BB189" w14:textId="77777777" w:rsidR="004E08F8" w:rsidRDefault="004E0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D47B" w14:textId="77777777" w:rsidR="00BA7AC5" w:rsidRDefault="00BA7AC5">
    <w:pPr>
      <w:pStyle w:val="a5"/>
      <w:pBdr>
        <w:bottom w:val="nil"/>
      </w:pBdr>
      <w:rPr>
        <w:rStyle w:val="NormalCharact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D366C"/>
    <w:multiLevelType w:val="multilevel"/>
    <w:tmpl w:val="83FAAAB8"/>
    <w:lvl w:ilvl="0">
      <w:start w:val="2"/>
      <w:numFmt w:val="decimal"/>
      <w:lvlText w:val="（%1）"/>
      <w:lvlJc w:val="left"/>
      <w:pPr>
        <w:widowControl/>
        <w:ind w:left="1140" w:hanging="720"/>
        <w:textAlignment w:val="baseline"/>
      </w:pPr>
    </w:lvl>
    <w:lvl w:ilvl="1">
      <w:start w:val="1"/>
      <w:numFmt w:val="lowerLetter"/>
      <w:lvlText w:val="%1)"/>
      <w:lvlJc w:val="left"/>
      <w:pPr>
        <w:widowControl/>
        <w:ind w:left="1260" w:hanging="420"/>
        <w:textAlignment w:val="baseline"/>
      </w:pPr>
    </w:lvl>
    <w:lvl w:ilvl="2">
      <w:start w:val="1"/>
      <w:numFmt w:val="lowerRoman"/>
      <w:lvlText w:val="%1."/>
      <w:lvlJc w:val="right"/>
      <w:pPr>
        <w:widowControl/>
        <w:ind w:left="1680" w:hanging="420"/>
        <w:textAlignment w:val="baseline"/>
      </w:pPr>
    </w:lvl>
    <w:lvl w:ilvl="3">
      <w:start w:val="1"/>
      <w:numFmt w:val="decimal"/>
      <w:lvlText w:val="%1."/>
      <w:lvlJc w:val="left"/>
      <w:pPr>
        <w:widowControl/>
        <w:ind w:left="2100" w:hanging="420"/>
        <w:textAlignment w:val="baseline"/>
      </w:pPr>
    </w:lvl>
    <w:lvl w:ilvl="4">
      <w:start w:val="1"/>
      <w:numFmt w:val="lowerLetter"/>
      <w:lvlText w:val="%1)"/>
      <w:lvlJc w:val="left"/>
      <w:pPr>
        <w:widowControl/>
        <w:ind w:left="2520" w:hanging="420"/>
        <w:textAlignment w:val="baseline"/>
      </w:pPr>
    </w:lvl>
    <w:lvl w:ilvl="5">
      <w:start w:val="1"/>
      <w:numFmt w:val="lowerRoman"/>
      <w:lvlText w:val="%1."/>
      <w:lvlJc w:val="right"/>
      <w:pPr>
        <w:widowControl/>
        <w:ind w:left="2940" w:hanging="420"/>
        <w:textAlignment w:val="baseline"/>
      </w:pPr>
    </w:lvl>
    <w:lvl w:ilvl="6">
      <w:start w:val="1"/>
      <w:numFmt w:val="decimal"/>
      <w:lvlText w:val="%1."/>
      <w:lvlJc w:val="left"/>
      <w:pPr>
        <w:widowControl/>
        <w:ind w:left="3360" w:hanging="420"/>
        <w:textAlignment w:val="baseline"/>
      </w:pPr>
    </w:lvl>
    <w:lvl w:ilvl="7">
      <w:start w:val="1"/>
      <w:numFmt w:val="lowerLetter"/>
      <w:lvlText w:val="%1)"/>
      <w:lvlJc w:val="left"/>
      <w:pPr>
        <w:widowControl/>
        <w:ind w:left="3780" w:hanging="420"/>
        <w:textAlignment w:val="baseline"/>
      </w:pPr>
    </w:lvl>
    <w:lvl w:ilvl="8">
      <w:start w:val="1"/>
      <w:numFmt w:val="lowerRoman"/>
      <w:lvlText w:val="%1."/>
      <w:lvlJc w:val="right"/>
      <w:pPr>
        <w:widowControl/>
        <w:ind w:left="4200" w:hanging="420"/>
        <w:textAlignment w:val="baseline"/>
      </w:pPr>
    </w:lvl>
  </w:abstractNum>
  <w:abstractNum w:abstractNumId="1" w15:restartNumberingAfterBreak="0">
    <w:nsid w:val="3C4A34F5"/>
    <w:multiLevelType w:val="multilevel"/>
    <w:tmpl w:val="BE4E318E"/>
    <w:lvl w:ilvl="0">
      <w:start w:val="2"/>
      <w:numFmt w:val="decimal"/>
      <w:lvlText w:val="（%1）"/>
      <w:lvlJc w:val="left"/>
      <w:pPr>
        <w:widowControl/>
        <w:ind w:left="1280" w:hanging="720"/>
        <w:textAlignment w:val="baseline"/>
      </w:pPr>
      <w:rPr>
        <w:rFonts w:ascii="宋体" w:hAnsi="宋体"/>
        <w:color w:val="000000"/>
      </w:rPr>
    </w:lvl>
    <w:lvl w:ilvl="1">
      <w:start w:val="1"/>
      <w:numFmt w:val="lowerLetter"/>
      <w:lvlText w:val="%1)"/>
      <w:lvlJc w:val="left"/>
      <w:pPr>
        <w:widowControl/>
        <w:ind w:left="1400" w:hanging="420"/>
        <w:textAlignment w:val="baseline"/>
      </w:pPr>
    </w:lvl>
    <w:lvl w:ilvl="2">
      <w:start w:val="1"/>
      <w:numFmt w:val="lowerRoman"/>
      <w:lvlText w:val="%1."/>
      <w:lvlJc w:val="right"/>
      <w:pPr>
        <w:widowControl/>
        <w:ind w:left="1820" w:hanging="420"/>
        <w:textAlignment w:val="baseline"/>
      </w:pPr>
    </w:lvl>
    <w:lvl w:ilvl="3">
      <w:start w:val="1"/>
      <w:numFmt w:val="decimal"/>
      <w:lvlText w:val="%1."/>
      <w:lvlJc w:val="left"/>
      <w:pPr>
        <w:widowControl/>
        <w:ind w:left="2240" w:hanging="420"/>
        <w:textAlignment w:val="baseline"/>
      </w:pPr>
    </w:lvl>
    <w:lvl w:ilvl="4">
      <w:start w:val="1"/>
      <w:numFmt w:val="lowerLetter"/>
      <w:lvlText w:val="%1)"/>
      <w:lvlJc w:val="left"/>
      <w:pPr>
        <w:widowControl/>
        <w:ind w:left="2660" w:hanging="420"/>
        <w:textAlignment w:val="baseline"/>
      </w:pPr>
    </w:lvl>
    <w:lvl w:ilvl="5">
      <w:start w:val="1"/>
      <w:numFmt w:val="lowerRoman"/>
      <w:lvlText w:val="%1."/>
      <w:lvlJc w:val="right"/>
      <w:pPr>
        <w:widowControl/>
        <w:ind w:left="3080" w:hanging="420"/>
        <w:textAlignment w:val="baseline"/>
      </w:pPr>
    </w:lvl>
    <w:lvl w:ilvl="6">
      <w:start w:val="1"/>
      <w:numFmt w:val="decimal"/>
      <w:lvlText w:val="%1."/>
      <w:lvlJc w:val="left"/>
      <w:pPr>
        <w:widowControl/>
        <w:ind w:left="3500" w:hanging="420"/>
        <w:textAlignment w:val="baseline"/>
      </w:pPr>
    </w:lvl>
    <w:lvl w:ilvl="7">
      <w:start w:val="1"/>
      <w:numFmt w:val="lowerLetter"/>
      <w:lvlText w:val="%1)"/>
      <w:lvlJc w:val="left"/>
      <w:pPr>
        <w:widowControl/>
        <w:ind w:left="3920" w:hanging="420"/>
        <w:textAlignment w:val="baseline"/>
      </w:pPr>
    </w:lvl>
    <w:lvl w:ilvl="8">
      <w:start w:val="1"/>
      <w:numFmt w:val="lowerRoman"/>
      <w:lvlText w:val="%1."/>
      <w:lvlJc w:val="right"/>
      <w:pPr>
        <w:widowControl/>
        <w:ind w:left="4340" w:hanging="420"/>
        <w:textAlignment w:val="baseline"/>
      </w:pPr>
    </w:lvl>
  </w:abstractNum>
  <w:abstractNum w:abstractNumId="2" w15:restartNumberingAfterBreak="0">
    <w:nsid w:val="793E2460"/>
    <w:multiLevelType w:val="multilevel"/>
    <w:tmpl w:val="79DA0034"/>
    <w:lvl w:ilvl="0">
      <w:start w:val="1"/>
      <w:numFmt w:val="decimal"/>
      <w:lvlText w:val="（%1）"/>
      <w:lvlJc w:val="left"/>
      <w:pPr>
        <w:widowControl/>
        <w:ind w:left="1140" w:hanging="720"/>
        <w:textAlignment w:val="baseline"/>
      </w:pPr>
    </w:lvl>
    <w:lvl w:ilvl="1">
      <w:start w:val="1"/>
      <w:numFmt w:val="lowerLetter"/>
      <w:lvlText w:val="%1)"/>
      <w:lvlJc w:val="left"/>
      <w:pPr>
        <w:widowControl/>
        <w:ind w:left="1260" w:hanging="420"/>
        <w:textAlignment w:val="baseline"/>
      </w:pPr>
    </w:lvl>
    <w:lvl w:ilvl="2">
      <w:start w:val="1"/>
      <w:numFmt w:val="lowerRoman"/>
      <w:lvlText w:val="%1."/>
      <w:lvlJc w:val="right"/>
      <w:pPr>
        <w:widowControl/>
        <w:ind w:left="1680" w:hanging="420"/>
        <w:textAlignment w:val="baseline"/>
      </w:pPr>
    </w:lvl>
    <w:lvl w:ilvl="3">
      <w:start w:val="1"/>
      <w:numFmt w:val="decimal"/>
      <w:lvlText w:val="%1."/>
      <w:lvlJc w:val="left"/>
      <w:pPr>
        <w:widowControl/>
        <w:ind w:left="2100" w:hanging="420"/>
        <w:textAlignment w:val="baseline"/>
      </w:pPr>
    </w:lvl>
    <w:lvl w:ilvl="4">
      <w:start w:val="1"/>
      <w:numFmt w:val="lowerLetter"/>
      <w:lvlText w:val="%1)"/>
      <w:lvlJc w:val="left"/>
      <w:pPr>
        <w:widowControl/>
        <w:ind w:left="2520" w:hanging="420"/>
        <w:textAlignment w:val="baseline"/>
      </w:pPr>
    </w:lvl>
    <w:lvl w:ilvl="5">
      <w:start w:val="1"/>
      <w:numFmt w:val="lowerRoman"/>
      <w:lvlText w:val="%1."/>
      <w:lvlJc w:val="right"/>
      <w:pPr>
        <w:widowControl/>
        <w:ind w:left="2940" w:hanging="420"/>
        <w:textAlignment w:val="baseline"/>
      </w:pPr>
    </w:lvl>
    <w:lvl w:ilvl="6">
      <w:start w:val="1"/>
      <w:numFmt w:val="decimal"/>
      <w:lvlText w:val="%1."/>
      <w:lvlJc w:val="left"/>
      <w:pPr>
        <w:widowControl/>
        <w:ind w:left="3360" w:hanging="420"/>
        <w:textAlignment w:val="baseline"/>
      </w:pPr>
    </w:lvl>
    <w:lvl w:ilvl="7">
      <w:start w:val="1"/>
      <w:numFmt w:val="lowerLetter"/>
      <w:lvlText w:val="%1)"/>
      <w:lvlJc w:val="left"/>
      <w:pPr>
        <w:widowControl/>
        <w:ind w:left="3780" w:hanging="420"/>
        <w:textAlignment w:val="baseline"/>
      </w:pPr>
    </w:lvl>
    <w:lvl w:ilvl="8">
      <w:start w:val="1"/>
      <w:numFmt w:val="lowerRoman"/>
      <w:lvlText w:val="%1."/>
      <w:lvlJc w:val="right"/>
      <w:pPr>
        <w:widowControl/>
        <w:ind w:left="4200" w:hanging="420"/>
        <w:textAlignment w:val="baseline"/>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AC5"/>
    <w:rsid w:val="000A6FF9"/>
    <w:rsid w:val="00174794"/>
    <w:rsid w:val="001959CF"/>
    <w:rsid w:val="0022399F"/>
    <w:rsid w:val="003225A6"/>
    <w:rsid w:val="00416628"/>
    <w:rsid w:val="004E08F8"/>
    <w:rsid w:val="00572F16"/>
    <w:rsid w:val="005F323C"/>
    <w:rsid w:val="0067237F"/>
    <w:rsid w:val="00687F20"/>
    <w:rsid w:val="006C3FF9"/>
    <w:rsid w:val="00771DB7"/>
    <w:rsid w:val="007776D3"/>
    <w:rsid w:val="00810271"/>
    <w:rsid w:val="008301F4"/>
    <w:rsid w:val="00924A9B"/>
    <w:rsid w:val="00947E1F"/>
    <w:rsid w:val="00A62D0B"/>
    <w:rsid w:val="00A900CE"/>
    <w:rsid w:val="00B41231"/>
    <w:rsid w:val="00B62D95"/>
    <w:rsid w:val="00BA7AC5"/>
    <w:rsid w:val="00CA18E0"/>
    <w:rsid w:val="00D07895"/>
    <w:rsid w:val="00D91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77525"/>
  <w15:docId w15:val="{AA57C443-D46E-42B2-87D7-8C482AD6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character" w:styleId="a3">
    <w:name w:val="Emphasis"/>
    <w:rPr>
      <w:i w:val="0"/>
      <w:iCs w:val="0"/>
      <w:color w:val="CC0000"/>
    </w:rPr>
  </w:style>
  <w:style w:type="character" w:customStyle="1" w:styleId="PageNumber">
    <w:name w:val="PageNumber"/>
    <w:basedOn w:val="NormalCharacter"/>
  </w:style>
  <w:style w:type="character" w:customStyle="1" w:styleId="UserStyle0">
    <w:name w:val="UserStyle_0"/>
    <w:link w:val="Acetate"/>
    <w:rPr>
      <w:kern w:val="2"/>
      <w:sz w:val="18"/>
      <w:szCs w:val="18"/>
    </w:rPr>
  </w:style>
  <w:style w:type="character" w:customStyle="1" w:styleId="a4">
    <w:name w:val="页眉 字符"/>
    <w:link w:val="a5"/>
    <w:rPr>
      <w:kern w:val="2"/>
      <w:sz w:val="18"/>
      <w:szCs w:val="18"/>
    </w:rPr>
  </w:style>
  <w:style w:type="paragraph" w:customStyle="1" w:styleId="BodyTextIndent">
    <w:name w:val="BodyTextIndent"/>
    <w:basedOn w:val="a"/>
    <w:pPr>
      <w:spacing w:after="120"/>
      <w:ind w:leftChars="200" w:left="200"/>
    </w:pPr>
    <w:rPr>
      <w:szCs w:val="20"/>
    </w:rPr>
  </w:style>
  <w:style w:type="paragraph" w:customStyle="1" w:styleId="Acetate">
    <w:name w:val="Acetate"/>
    <w:basedOn w:val="a"/>
    <w:link w:val="UserStyle0"/>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5">
    <w:name w:val="header"/>
    <w:basedOn w:val="a"/>
    <w:link w:val="a4"/>
    <w:pPr>
      <w:pBdr>
        <w:bottom w:val="single" w:sz="6" w:space="1" w:color="000000"/>
      </w:pBdr>
      <w:tabs>
        <w:tab w:val="center" w:pos="4153"/>
        <w:tab w:val="right" w:pos="8306"/>
      </w:tabs>
      <w:snapToGrid w:val="0"/>
      <w:jc w:val="center"/>
    </w:pPr>
    <w:rPr>
      <w:sz w:val="18"/>
      <w:szCs w:val="18"/>
    </w:rPr>
  </w:style>
  <w:style w:type="paragraph" w:customStyle="1" w:styleId="179">
    <w:name w:val="179"/>
    <w:basedOn w:val="a"/>
    <w:pPr>
      <w:ind w:firstLineChars="200" w:firstLine="420"/>
    </w:pPr>
    <w:rPr>
      <w:rFonts w:ascii="Calibri" w:hAnsi="Calibri"/>
      <w:szCs w:val="22"/>
    </w:rPr>
  </w:style>
  <w:style w:type="paragraph" w:customStyle="1" w:styleId="UserStyle2">
    <w:name w:val="UserStyle_2"/>
    <w:basedOn w:val="a"/>
    <w:pPr>
      <w:tabs>
        <w:tab w:val="left" w:pos="720"/>
      </w:tabs>
      <w:ind w:left="720" w:hanging="720"/>
    </w:pPr>
    <w:rPr>
      <w:sz w:val="18"/>
      <w:szCs w:val="18"/>
    </w:rPr>
  </w:style>
  <w:style w:type="paragraph" w:customStyle="1" w:styleId="UserStyle3">
    <w:name w:val="UserStyle_3"/>
    <w:basedOn w:val="a"/>
    <w:rPr>
      <w:rFonts w:ascii="仿宋_GB2312" w:eastAsia="仿宋_GB2312"/>
      <w:sz w:val="32"/>
      <w:szCs w:val="32"/>
    </w:rPr>
  </w:style>
  <w:style w:type="table" w:customStyle="1" w:styleId="TableGrid">
    <w:name w:val="TableGrid"/>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580</Words>
  <Characters>3311</Characters>
  <Application>Microsoft Office Word</Application>
  <DocSecurity>0</DocSecurity>
  <Lines>27</Lines>
  <Paragraphs>7</Paragraphs>
  <ScaleCrop>false</ScaleCrop>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2020-01-20T09:15:00Z</dcterms:created>
  <dcterms:modified xsi:type="dcterms:W3CDTF">2020-01-20T09:27:00Z</dcterms:modified>
</cp:coreProperties>
</file>