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0F" w:rsidRPr="00E82F93" w:rsidRDefault="0003060F">
      <w:pPr>
        <w:rPr>
          <w:rFonts w:ascii="宋体" w:hAnsi="宋体"/>
          <w:bCs/>
          <w:iCs/>
          <w:sz w:val="24"/>
        </w:rPr>
      </w:pPr>
      <w:bookmarkStart w:id="0" w:name="_GoBack"/>
      <w:bookmarkEnd w:id="0"/>
      <w:r w:rsidRPr="00E82F93">
        <w:rPr>
          <w:rFonts w:ascii="宋体" w:hAnsi="宋体" w:hint="eastAsia"/>
          <w:bCs/>
          <w:iCs/>
          <w:sz w:val="24"/>
        </w:rPr>
        <w:t xml:space="preserve">证券代码：002151                           </w:t>
      </w:r>
      <w:r w:rsidR="003F777A">
        <w:rPr>
          <w:rFonts w:ascii="宋体" w:hAnsi="宋体"/>
          <w:bCs/>
          <w:iCs/>
          <w:sz w:val="24"/>
        </w:rPr>
        <w:t xml:space="preserve">     </w:t>
      </w:r>
      <w:r w:rsidRPr="00E82F93">
        <w:rPr>
          <w:rFonts w:ascii="宋体" w:hAnsi="宋体" w:hint="eastAsia"/>
          <w:bCs/>
          <w:iCs/>
          <w:sz w:val="24"/>
        </w:rPr>
        <w:t xml:space="preserve"> 证券简称：北斗星通</w:t>
      </w:r>
    </w:p>
    <w:p w:rsidR="0003060F" w:rsidRPr="00073AC9" w:rsidRDefault="0003060F">
      <w:pPr>
        <w:spacing w:beforeLines="50" w:before="156" w:afterLines="50" w:after="156" w:line="400" w:lineRule="exact"/>
        <w:ind w:firstLineChars="300" w:firstLine="300"/>
        <w:rPr>
          <w:rFonts w:ascii="宋体" w:hAnsi="宋体"/>
          <w:bCs/>
          <w:iCs/>
          <w:sz w:val="10"/>
          <w:szCs w:val="10"/>
        </w:rPr>
      </w:pPr>
    </w:p>
    <w:p w:rsidR="0003060F" w:rsidRPr="00E82F93" w:rsidRDefault="0003060F">
      <w:pPr>
        <w:spacing w:beforeLines="50" w:before="156" w:afterLines="50" w:after="156" w:line="400" w:lineRule="exact"/>
        <w:jc w:val="center"/>
        <w:rPr>
          <w:rFonts w:ascii="宋体" w:hAnsi="宋体"/>
          <w:b/>
          <w:bCs/>
          <w:iCs/>
          <w:sz w:val="24"/>
          <w:szCs w:val="24"/>
        </w:rPr>
      </w:pPr>
      <w:r w:rsidRPr="00E82F93">
        <w:rPr>
          <w:rFonts w:ascii="宋体" w:hAnsi="宋体" w:hint="eastAsia"/>
          <w:b/>
          <w:bCs/>
          <w:iCs/>
          <w:sz w:val="24"/>
          <w:szCs w:val="24"/>
        </w:rPr>
        <w:t>北京北斗星通导航技术股份有限公司投资者关系活动记录表</w:t>
      </w:r>
    </w:p>
    <w:p w:rsidR="0003060F" w:rsidRPr="00E82F93" w:rsidRDefault="0003060F">
      <w:pPr>
        <w:spacing w:line="400" w:lineRule="exact"/>
        <w:rPr>
          <w:rFonts w:ascii="宋体" w:hAnsi="宋体"/>
          <w:bCs/>
          <w:iCs/>
          <w:sz w:val="24"/>
          <w:szCs w:val="24"/>
        </w:rPr>
      </w:pPr>
      <w:r w:rsidRPr="00E82F93">
        <w:rPr>
          <w:rFonts w:ascii="宋体" w:hAnsi="宋体" w:hint="eastAsia"/>
          <w:bCs/>
          <w:iCs/>
          <w:sz w:val="24"/>
          <w:szCs w:val="24"/>
        </w:rPr>
        <w:t xml:space="preserve">                                                      编号：20</w:t>
      </w:r>
      <w:r w:rsidR="00B438DB">
        <w:rPr>
          <w:rFonts w:ascii="宋体" w:hAnsi="宋体"/>
          <w:bCs/>
          <w:iCs/>
          <w:sz w:val="24"/>
          <w:szCs w:val="24"/>
        </w:rPr>
        <w:t>20</w:t>
      </w:r>
      <w:r w:rsidRPr="00E82F93">
        <w:rPr>
          <w:rFonts w:ascii="宋体" w:hAnsi="宋体" w:hint="eastAsia"/>
          <w:bCs/>
          <w:iCs/>
          <w:sz w:val="24"/>
          <w:szCs w:val="24"/>
        </w:rPr>
        <w:t>-</w:t>
      </w:r>
      <w:r w:rsidR="00E06702" w:rsidRPr="00E82F93">
        <w:rPr>
          <w:rFonts w:ascii="宋体" w:hAnsi="宋体" w:hint="eastAsia"/>
          <w:bCs/>
          <w:iCs/>
          <w:sz w:val="24"/>
          <w:szCs w:val="24"/>
        </w:rPr>
        <w:t>00</w:t>
      </w:r>
      <w:r w:rsidR="00B438DB">
        <w:rPr>
          <w:rFonts w:ascii="宋体" w:hAnsi="宋体"/>
          <w:bCs/>
          <w:iCs/>
          <w:sz w:val="24"/>
          <w:szCs w:val="24"/>
        </w:rPr>
        <w:t>1</w:t>
      </w: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654"/>
      </w:tblGrid>
      <w:tr w:rsidR="0003060F" w:rsidRPr="00E82F93" w:rsidTr="00D57185">
        <w:tc>
          <w:tcPr>
            <w:tcW w:w="2014" w:type="dxa"/>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投资者关系活动类别</w:t>
            </w:r>
          </w:p>
          <w:p w:rsidR="0003060F" w:rsidRPr="00E82F93" w:rsidRDefault="0003060F" w:rsidP="007152C1">
            <w:pPr>
              <w:spacing w:line="480" w:lineRule="atLeast"/>
              <w:jc w:val="center"/>
              <w:rPr>
                <w:rFonts w:ascii="宋体" w:hAnsi="宋体"/>
                <w:b/>
                <w:bCs/>
                <w:iCs/>
                <w:sz w:val="24"/>
                <w:szCs w:val="24"/>
              </w:rPr>
            </w:pPr>
          </w:p>
        </w:tc>
        <w:tc>
          <w:tcPr>
            <w:tcW w:w="7654" w:type="dxa"/>
          </w:tcPr>
          <w:p w:rsidR="0003060F" w:rsidRPr="00E82F93" w:rsidRDefault="001639F0">
            <w:pPr>
              <w:spacing w:line="480" w:lineRule="atLeast"/>
              <w:rPr>
                <w:rFonts w:ascii="宋体" w:hAnsi="宋体"/>
                <w:bCs/>
                <w:iCs/>
                <w:sz w:val="24"/>
                <w:szCs w:val="24"/>
              </w:rPr>
            </w:pPr>
            <w:r w:rsidRPr="00E82F93">
              <w:rPr>
                <w:rFonts w:ascii="宋体" w:hAnsi="宋体" w:hint="eastAsia"/>
                <w:bCs/>
                <w:iCs/>
                <w:sz w:val="24"/>
                <w:szCs w:val="24"/>
              </w:rPr>
              <w:t>□</w:t>
            </w:r>
            <w:r w:rsidR="0003060F" w:rsidRPr="00E82F93">
              <w:rPr>
                <w:rFonts w:ascii="宋体" w:hAnsi="宋体" w:hint="eastAsia"/>
                <w:sz w:val="24"/>
                <w:szCs w:val="24"/>
              </w:rPr>
              <w:t xml:space="preserve">特定对象调研        </w:t>
            </w:r>
            <w:r w:rsidR="0003060F" w:rsidRPr="00E82F93">
              <w:rPr>
                <w:rFonts w:ascii="宋体" w:hAnsi="宋体" w:hint="eastAsia"/>
                <w:bCs/>
                <w:iCs/>
                <w:sz w:val="24"/>
                <w:szCs w:val="24"/>
              </w:rPr>
              <w:t>□</w:t>
            </w:r>
            <w:r w:rsidR="0003060F" w:rsidRPr="00E82F93">
              <w:rPr>
                <w:rFonts w:ascii="宋体" w:hAnsi="宋体" w:hint="eastAsia"/>
                <w:sz w:val="24"/>
                <w:szCs w:val="24"/>
              </w:rPr>
              <w:t>分析师会议</w:t>
            </w:r>
          </w:p>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 xml:space="preserve">媒体采访            </w:t>
            </w:r>
            <w:r w:rsidRPr="00E82F93">
              <w:rPr>
                <w:rFonts w:ascii="宋体" w:hAnsi="宋体" w:hint="eastAsia"/>
                <w:bCs/>
                <w:iCs/>
                <w:sz w:val="24"/>
                <w:szCs w:val="24"/>
              </w:rPr>
              <w:t>□</w:t>
            </w:r>
            <w:r w:rsidRPr="00E82F93">
              <w:rPr>
                <w:rFonts w:ascii="宋体" w:hAnsi="宋体" w:hint="eastAsia"/>
                <w:sz w:val="24"/>
                <w:szCs w:val="24"/>
              </w:rPr>
              <w:t>业绩说明会</w:t>
            </w:r>
          </w:p>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 xml:space="preserve">新闻发布会          </w:t>
            </w:r>
            <w:r w:rsidRPr="00E82F93">
              <w:rPr>
                <w:rFonts w:ascii="宋体" w:hAnsi="宋体" w:hint="eastAsia"/>
                <w:bCs/>
                <w:iCs/>
                <w:sz w:val="24"/>
                <w:szCs w:val="24"/>
              </w:rPr>
              <w:t>□</w:t>
            </w:r>
            <w:r w:rsidRPr="00E82F93">
              <w:rPr>
                <w:rFonts w:ascii="宋体" w:hAnsi="宋体" w:hint="eastAsia"/>
                <w:sz w:val="24"/>
                <w:szCs w:val="24"/>
              </w:rPr>
              <w:t>路演活动</w:t>
            </w:r>
          </w:p>
          <w:p w:rsidR="0003060F" w:rsidRPr="00E82F93" w:rsidRDefault="001639F0">
            <w:pPr>
              <w:tabs>
                <w:tab w:val="left" w:pos="3045"/>
                <w:tab w:val="center" w:pos="3199"/>
              </w:tabs>
              <w:spacing w:line="480" w:lineRule="atLeast"/>
              <w:rPr>
                <w:rFonts w:ascii="宋体" w:hAnsi="宋体"/>
                <w:bCs/>
                <w:iCs/>
                <w:sz w:val="24"/>
                <w:szCs w:val="24"/>
              </w:rPr>
            </w:pPr>
            <w:r w:rsidRPr="00E82F93">
              <w:rPr>
                <w:rFonts w:ascii="宋体" w:hAnsi="宋体" w:hint="eastAsia"/>
                <w:bCs/>
                <w:iCs/>
                <w:color w:val="000000"/>
                <w:sz w:val="22"/>
              </w:rPr>
              <w:t>■</w:t>
            </w:r>
            <w:r w:rsidR="0003060F" w:rsidRPr="00E82F93">
              <w:rPr>
                <w:rFonts w:ascii="宋体" w:hAnsi="宋体" w:hint="eastAsia"/>
                <w:sz w:val="24"/>
                <w:szCs w:val="24"/>
              </w:rPr>
              <w:t>现场参观</w:t>
            </w:r>
            <w:r w:rsidR="0003060F" w:rsidRPr="00E82F93">
              <w:rPr>
                <w:rFonts w:ascii="宋体" w:hAnsi="宋体"/>
                <w:bCs/>
                <w:iCs/>
                <w:sz w:val="24"/>
                <w:szCs w:val="24"/>
              </w:rPr>
              <w:tab/>
            </w:r>
          </w:p>
          <w:p w:rsidR="0003060F" w:rsidRPr="00E82F93" w:rsidRDefault="0003060F">
            <w:pPr>
              <w:tabs>
                <w:tab w:val="center" w:pos="3199"/>
              </w:tabs>
              <w:spacing w:line="480" w:lineRule="atLeast"/>
              <w:rPr>
                <w:rFonts w:ascii="宋体" w:hAnsi="宋体"/>
                <w:bCs/>
                <w:iCs/>
                <w:sz w:val="24"/>
                <w:szCs w:val="24"/>
              </w:rPr>
            </w:pPr>
            <w:r w:rsidRPr="00E82F93">
              <w:rPr>
                <w:rFonts w:ascii="宋体" w:hAnsi="宋体" w:hint="eastAsia"/>
                <w:bCs/>
                <w:iCs/>
                <w:sz w:val="24"/>
                <w:szCs w:val="24"/>
              </w:rPr>
              <w:t>□</w:t>
            </w:r>
            <w:r w:rsidRPr="00E82F93">
              <w:rPr>
                <w:rFonts w:ascii="宋体" w:hAnsi="宋体" w:hint="eastAsia"/>
                <w:sz w:val="24"/>
                <w:szCs w:val="24"/>
              </w:rPr>
              <w:t>其他 （</w:t>
            </w:r>
            <w:proofErr w:type="gramStart"/>
            <w:r w:rsidRPr="00E82F93">
              <w:rPr>
                <w:rFonts w:ascii="宋体" w:hAnsi="宋体" w:hint="eastAsia"/>
                <w:sz w:val="24"/>
                <w:szCs w:val="24"/>
                <w:u w:val="single"/>
              </w:rPr>
              <w:t>请文字</w:t>
            </w:r>
            <w:proofErr w:type="gramEnd"/>
            <w:r w:rsidRPr="00E82F93">
              <w:rPr>
                <w:rFonts w:ascii="宋体" w:hAnsi="宋体" w:hint="eastAsia"/>
                <w:sz w:val="24"/>
                <w:szCs w:val="24"/>
                <w:u w:val="single"/>
              </w:rPr>
              <w:t>说明其他活动内容）</w:t>
            </w:r>
          </w:p>
        </w:tc>
      </w:tr>
      <w:tr w:rsidR="0003060F" w:rsidRPr="00E82F93" w:rsidTr="00D57185">
        <w:tc>
          <w:tcPr>
            <w:tcW w:w="2014" w:type="dxa"/>
            <w:vAlign w:val="center"/>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参与单位名称及人员姓名</w:t>
            </w:r>
          </w:p>
        </w:tc>
        <w:tc>
          <w:tcPr>
            <w:tcW w:w="7654" w:type="dxa"/>
          </w:tcPr>
          <w:p w:rsidR="006E0A4C" w:rsidRPr="00A761D1" w:rsidRDefault="00B438DB" w:rsidP="00D94949">
            <w:pPr>
              <w:spacing w:line="480" w:lineRule="atLeast"/>
              <w:rPr>
                <w:rFonts w:ascii="宋体" w:hAnsi="宋体"/>
                <w:bCs/>
                <w:iCs/>
                <w:sz w:val="24"/>
                <w:szCs w:val="24"/>
              </w:rPr>
            </w:pPr>
            <w:r>
              <w:rPr>
                <w:rFonts w:ascii="宋体" w:hAnsi="宋体" w:hint="eastAsia"/>
                <w:bCs/>
                <w:iCs/>
                <w:sz w:val="24"/>
                <w:szCs w:val="24"/>
              </w:rPr>
              <w:t>盛世景：聂政、王海伟、陈紫光；中信建投：汤其勇；</w:t>
            </w:r>
            <w:proofErr w:type="gramStart"/>
            <w:r>
              <w:rPr>
                <w:rFonts w:ascii="宋体" w:hAnsi="宋体" w:hint="eastAsia"/>
                <w:bCs/>
                <w:iCs/>
                <w:sz w:val="24"/>
                <w:szCs w:val="24"/>
              </w:rPr>
              <w:t>鑫</w:t>
            </w:r>
            <w:proofErr w:type="gramEnd"/>
            <w:r>
              <w:rPr>
                <w:rFonts w:ascii="宋体" w:hAnsi="宋体" w:hint="eastAsia"/>
                <w:bCs/>
                <w:iCs/>
                <w:sz w:val="24"/>
                <w:szCs w:val="24"/>
              </w:rPr>
              <w:t>然投资：孙令峰、朱旻；民生证券：王</w:t>
            </w:r>
            <w:proofErr w:type="gramStart"/>
            <w:r>
              <w:rPr>
                <w:rFonts w:ascii="宋体" w:hAnsi="宋体" w:hint="eastAsia"/>
                <w:bCs/>
                <w:iCs/>
                <w:sz w:val="24"/>
                <w:szCs w:val="24"/>
              </w:rPr>
              <w:t>一</w:t>
            </w:r>
            <w:proofErr w:type="gramEnd"/>
            <w:r>
              <w:rPr>
                <w:rFonts w:ascii="宋体" w:hAnsi="宋体" w:hint="eastAsia"/>
                <w:bCs/>
                <w:iCs/>
                <w:sz w:val="24"/>
                <w:szCs w:val="24"/>
              </w:rPr>
              <w:t>川；华夏基金：彭海伟；国泰君安：腾光耀</w:t>
            </w:r>
            <w:r w:rsidR="00D94949">
              <w:rPr>
                <w:rFonts w:ascii="宋体" w:hAnsi="宋体" w:hint="eastAsia"/>
                <w:bCs/>
                <w:iCs/>
                <w:sz w:val="24"/>
                <w:szCs w:val="24"/>
              </w:rPr>
              <w:t>。</w:t>
            </w:r>
            <w:r w:rsidR="00D94949" w:rsidRPr="00A761D1">
              <w:rPr>
                <w:rFonts w:ascii="宋体" w:hAnsi="宋体" w:hint="eastAsia"/>
                <w:bCs/>
                <w:iCs/>
                <w:sz w:val="24"/>
                <w:szCs w:val="24"/>
              </w:rPr>
              <w:t xml:space="preserve"> </w:t>
            </w:r>
          </w:p>
        </w:tc>
      </w:tr>
      <w:tr w:rsidR="0003060F" w:rsidRPr="00E82F93" w:rsidTr="00D57185">
        <w:tc>
          <w:tcPr>
            <w:tcW w:w="2014" w:type="dxa"/>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时间</w:t>
            </w:r>
          </w:p>
        </w:tc>
        <w:tc>
          <w:tcPr>
            <w:tcW w:w="7654" w:type="dxa"/>
          </w:tcPr>
          <w:p w:rsidR="0003060F" w:rsidRPr="00E82F93" w:rsidRDefault="0003060F" w:rsidP="00B438DB">
            <w:pPr>
              <w:spacing w:line="480" w:lineRule="atLeast"/>
              <w:rPr>
                <w:rFonts w:ascii="宋体" w:hAnsi="宋体"/>
                <w:bCs/>
                <w:iCs/>
                <w:sz w:val="24"/>
                <w:szCs w:val="24"/>
              </w:rPr>
            </w:pPr>
            <w:r w:rsidRPr="00E82F93">
              <w:rPr>
                <w:rFonts w:ascii="宋体" w:hAnsi="宋体" w:hint="eastAsia"/>
                <w:bCs/>
                <w:iCs/>
                <w:sz w:val="24"/>
                <w:szCs w:val="24"/>
              </w:rPr>
              <w:t>20</w:t>
            </w:r>
            <w:r w:rsidR="00B438DB">
              <w:rPr>
                <w:rFonts w:ascii="宋体" w:hAnsi="宋体"/>
                <w:bCs/>
                <w:iCs/>
                <w:sz w:val="24"/>
                <w:szCs w:val="24"/>
              </w:rPr>
              <w:t>20</w:t>
            </w:r>
            <w:r w:rsidRPr="00E82F93">
              <w:rPr>
                <w:rFonts w:ascii="宋体" w:hAnsi="宋体" w:hint="eastAsia"/>
                <w:bCs/>
                <w:iCs/>
                <w:sz w:val="24"/>
                <w:szCs w:val="24"/>
              </w:rPr>
              <w:t>年</w:t>
            </w:r>
            <w:r w:rsidR="00B438DB">
              <w:rPr>
                <w:rFonts w:ascii="宋体" w:hAnsi="宋体"/>
                <w:bCs/>
                <w:iCs/>
                <w:sz w:val="24"/>
                <w:szCs w:val="24"/>
              </w:rPr>
              <w:t>1</w:t>
            </w:r>
            <w:r w:rsidRPr="00E82F93">
              <w:rPr>
                <w:rFonts w:ascii="宋体" w:hAnsi="宋体" w:hint="eastAsia"/>
                <w:bCs/>
                <w:iCs/>
                <w:sz w:val="24"/>
                <w:szCs w:val="24"/>
              </w:rPr>
              <w:t>月</w:t>
            </w:r>
            <w:r w:rsidR="00B438DB">
              <w:rPr>
                <w:rFonts w:ascii="宋体" w:hAnsi="宋体"/>
                <w:bCs/>
                <w:iCs/>
                <w:sz w:val="24"/>
                <w:szCs w:val="24"/>
              </w:rPr>
              <w:t>20</w:t>
            </w:r>
            <w:r w:rsidRPr="00E82F93">
              <w:rPr>
                <w:rFonts w:ascii="宋体" w:hAnsi="宋体" w:hint="eastAsia"/>
                <w:bCs/>
                <w:iCs/>
                <w:sz w:val="24"/>
                <w:szCs w:val="24"/>
              </w:rPr>
              <w:t>日下午</w:t>
            </w:r>
            <w:r w:rsidR="00B438DB">
              <w:rPr>
                <w:rFonts w:ascii="宋体" w:hAnsi="宋体"/>
                <w:bCs/>
                <w:iCs/>
                <w:sz w:val="24"/>
                <w:szCs w:val="24"/>
              </w:rPr>
              <w:t>2</w:t>
            </w:r>
            <w:r w:rsidRPr="00E82F93">
              <w:rPr>
                <w:rFonts w:ascii="宋体" w:hAnsi="宋体" w:hint="eastAsia"/>
                <w:bCs/>
                <w:iCs/>
                <w:sz w:val="24"/>
                <w:szCs w:val="24"/>
              </w:rPr>
              <w:t>:</w:t>
            </w:r>
            <w:r w:rsidR="008F4053">
              <w:rPr>
                <w:rFonts w:ascii="宋体" w:hAnsi="宋体"/>
                <w:bCs/>
                <w:iCs/>
                <w:sz w:val="24"/>
                <w:szCs w:val="24"/>
              </w:rPr>
              <w:t>00</w:t>
            </w:r>
            <w:r w:rsidRPr="00E82F93">
              <w:rPr>
                <w:rFonts w:ascii="宋体" w:hAnsi="宋体" w:hint="eastAsia"/>
                <w:bCs/>
                <w:iCs/>
                <w:sz w:val="24"/>
                <w:szCs w:val="24"/>
              </w:rPr>
              <w:t>-</w:t>
            </w:r>
            <w:r w:rsidR="00B438DB">
              <w:rPr>
                <w:rFonts w:ascii="宋体" w:hAnsi="宋体"/>
                <w:bCs/>
                <w:iCs/>
                <w:sz w:val="24"/>
                <w:szCs w:val="24"/>
              </w:rPr>
              <w:t>4</w:t>
            </w:r>
            <w:r w:rsidRPr="00115334">
              <w:rPr>
                <w:rFonts w:ascii="宋体" w:hAnsi="宋体" w:hint="eastAsia"/>
                <w:bCs/>
                <w:iCs/>
                <w:sz w:val="24"/>
                <w:szCs w:val="24"/>
              </w:rPr>
              <w:t>:</w:t>
            </w:r>
            <w:r w:rsidR="00B438DB">
              <w:rPr>
                <w:rFonts w:ascii="宋体" w:hAnsi="宋体"/>
                <w:bCs/>
                <w:iCs/>
                <w:sz w:val="24"/>
                <w:szCs w:val="24"/>
              </w:rPr>
              <w:t>3</w:t>
            </w:r>
            <w:r w:rsidRPr="00115334">
              <w:rPr>
                <w:rFonts w:ascii="宋体" w:hAnsi="宋体" w:hint="eastAsia"/>
                <w:bCs/>
                <w:iCs/>
                <w:sz w:val="24"/>
                <w:szCs w:val="24"/>
              </w:rPr>
              <w:t>0</w:t>
            </w:r>
          </w:p>
        </w:tc>
      </w:tr>
      <w:tr w:rsidR="0003060F" w:rsidRPr="00E82F93" w:rsidTr="00D57185">
        <w:tc>
          <w:tcPr>
            <w:tcW w:w="2014" w:type="dxa"/>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地点</w:t>
            </w:r>
          </w:p>
        </w:tc>
        <w:tc>
          <w:tcPr>
            <w:tcW w:w="7654" w:type="dxa"/>
          </w:tcPr>
          <w:p w:rsidR="0003060F" w:rsidRPr="00E82F93" w:rsidRDefault="00E06702" w:rsidP="004B42A7">
            <w:pPr>
              <w:spacing w:line="480" w:lineRule="atLeast"/>
              <w:rPr>
                <w:rFonts w:ascii="宋体" w:hAnsi="宋体"/>
                <w:bCs/>
                <w:iCs/>
                <w:sz w:val="24"/>
                <w:szCs w:val="24"/>
              </w:rPr>
            </w:pPr>
            <w:r>
              <w:rPr>
                <w:rFonts w:ascii="宋体" w:hAnsi="宋体" w:hint="eastAsia"/>
                <w:bCs/>
                <w:iCs/>
                <w:sz w:val="24"/>
                <w:szCs w:val="24"/>
              </w:rPr>
              <w:t>北斗星通大厦第</w:t>
            </w:r>
            <w:r w:rsidR="00B438DB">
              <w:rPr>
                <w:rFonts w:ascii="宋体" w:hAnsi="宋体" w:hint="eastAsia"/>
                <w:bCs/>
                <w:iCs/>
                <w:sz w:val="24"/>
                <w:szCs w:val="24"/>
              </w:rPr>
              <w:t>五</w:t>
            </w:r>
            <w:r>
              <w:rPr>
                <w:rFonts w:ascii="宋体" w:hAnsi="宋体" w:hint="eastAsia"/>
                <w:bCs/>
                <w:iCs/>
                <w:sz w:val="24"/>
                <w:szCs w:val="24"/>
              </w:rPr>
              <w:t>会议室</w:t>
            </w:r>
          </w:p>
        </w:tc>
      </w:tr>
      <w:tr w:rsidR="0003060F" w:rsidRPr="00E82F93" w:rsidTr="00D57185">
        <w:tc>
          <w:tcPr>
            <w:tcW w:w="2014" w:type="dxa"/>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上市公司接待人员姓名</w:t>
            </w:r>
          </w:p>
        </w:tc>
        <w:tc>
          <w:tcPr>
            <w:tcW w:w="7654" w:type="dxa"/>
          </w:tcPr>
          <w:p w:rsidR="0003060F" w:rsidRPr="00E82F93" w:rsidRDefault="00E422CC" w:rsidP="00A0606C">
            <w:pPr>
              <w:spacing w:line="480" w:lineRule="atLeast"/>
              <w:rPr>
                <w:rFonts w:ascii="宋体" w:hAnsi="宋体"/>
                <w:bCs/>
                <w:iCs/>
                <w:sz w:val="24"/>
                <w:szCs w:val="24"/>
              </w:rPr>
            </w:pPr>
            <w:r>
              <w:rPr>
                <w:rFonts w:ascii="宋体" w:hAnsi="宋体" w:hint="eastAsia"/>
                <w:bCs/>
                <w:iCs/>
                <w:sz w:val="24"/>
                <w:szCs w:val="24"/>
              </w:rPr>
              <w:t>公司副总经理、</w:t>
            </w:r>
            <w:r w:rsidR="0003060F" w:rsidRPr="00E82F93">
              <w:rPr>
                <w:rFonts w:ascii="宋体" w:hAnsi="宋体" w:hint="eastAsia"/>
                <w:bCs/>
                <w:iCs/>
                <w:sz w:val="24"/>
                <w:szCs w:val="24"/>
              </w:rPr>
              <w:t>董事会秘书</w:t>
            </w:r>
            <w:r>
              <w:rPr>
                <w:rFonts w:ascii="宋体" w:hAnsi="宋体" w:hint="eastAsia"/>
                <w:bCs/>
                <w:iCs/>
                <w:sz w:val="24"/>
                <w:szCs w:val="24"/>
              </w:rPr>
              <w:t>潘国平</w:t>
            </w:r>
          </w:p>
        </w:tc>
      </w:tr>
      <w:tr w:rsidR="0003060F" w:rsidRPr="00E82F93" w:rsidTr="00D57185">
        <w:trPr>
          <w:trHeight w:val="274"/>
        </w:trPr>
        <w:tc>
          <w:tcPr>
            <w:tcW w:w="2014" w:type="dxa"/>
            <w:vAlign w:val="center"/>
          </w:tcPr>
          <w:p w:rsidR="0003060F" w:rsidRPr="00E82F93" w:rsidRDefault="0003060F" w:rsidP="007152C1">
            <w:pPr>
              <w:spacing w:line="480" w:lineRule="atLeast"/>
              <w:jc w:val="center"/>
              <w:rPr>
                <w:rFonts w:ascii="宋体" w:hAnsi="宋体"/>
                <w:b/>
                <w:bCs/>
                <w:iCs/>
                <w:sz w:val="24"/>
                <w:szCs w:val="24"/>
              </w:rPr>
            </w:pPr>
            <w:r w:rsidRPr="00E82F93">
              <w:rPr>
                <w:rFonts w:ascii="宋体" w:hAnsi="宋体" w:hint="eastAsia"/>
                <w:b/>
                <w:bCs/>
                <w:iCs/>
                <w:sz w:val="24"/>
                <w:szCs w:val="24"/>
              </w:rPr>
              <w:t>投资者关系活动主要内容介绍</w:t>
            </w:r>
          </w:p>
          <w:p w:rsidR="0003060F" w:rsidRPr="00E82F93" w:rsidRDefault="0003060F" w:rsidP="007152C1">
            <w:pPr>
              <w:spacing w:line="480" w:lineRule="atLeast"/>
              <w:jc w:val="center"/>
              <w:rPr>
                <w:rFonts w:ascii="宋体" w:hAnsi="宋体"/>
                <w:b/>
                <w:bCs/>
                <w:iCs/>
                <w:sz w:val="24"/>
                <w:szCs w:val="24"/>
              </w:rPr>
            </w:pPr>
          </w:p>
        </w:tc>
        <w:tc>
          <w:tcPr>
            <w:tcW w:w="7654" w:type="dxa"/>
          </w:tcPr>
          <w:p w:rsidR="00BE7567" w:rsidRPr="00607B5F" w:rsidRDefault="00281E2E" w:rsidP="00D339BD">
            <w:pPr>
              <w:ind w:firstLineChars="200" w:firstLine="420"/>
              <w:jc w:val="left"/>
              <w:rPr>
                <w:rFonts w:ascii="宋体" w:hAnsi="宋体"/>
                <w:bCs/>
                <w:iCs/>
                <w:szCs w:val="21"/>
              </w:rPr>
            </w:pPr>
            <w:r w:rsidRPr="00607B5F">
              <w:rPr>
                <w:rFonts w:ascii="宋体" w:hAnsi="宋体" w:hint="eastAsia"/>
                <w:bCs/>
                <w:iCs/>
                <w:szCs w:val="21"/>
              </w:rPr>
              <w:t>通过座谈交流</w:t>
            </w:r>
            <w:r w:rsidR="00985452">
              <w:rPr>
                <w:rFonts w:ascii="宋体" w:hAnsi="宋体" w:hint="eastAsia"/>
                <w:bCs/>
                <w:iCs/>
                <w:szCs w:val="21"/>
              </w:rPr>
              <w:t>了</w:t>
            </w:r>
            <w:r w:rsidR="00AC36D4" w:rsidRPr="00607B5F">
              <w:rPr>
                <w:rFonts w:ascii="宋体" w:hAnsi="宋体" w:hint="eastAsia"/>
                <w:bCs/>
                <w:iCs/>
                <w:szCs w:val="21"/>
              </w:rPr>
              <w:t>公司的</w:t>
            </w:r>
            <w:r w:rsidR="008A678C">
              <w:rPr>
                <w:rFonts w:ascii="宋体" w:hAnsi="宋体" w:hint="eastAsia"/>
                <w:bCs/>
                <w:iCs/>
                <w:szCs w:val="21"/>
              </w:rPr>
              <w:t>产业布局</w:t>
            </w:r>
            <w:r w:rsidR="00402420">
              <w:rPr>
                <w:rFonts w:ascii="宋体" w:hAnsi="宋体" w:hint="eastAsia"/>
                <w:bCs/>
                <w:iCs/>
                <w:szCs w:val="21"/>
              </w:rPr>
              <w:t>、发展战略、面临的机会</w:t>
            </w:r>
            <w:r w:rsidR="00FF3A0C" w:rsidRPr="00607B5F">
              <w:rPr>
                <w:rFonts w:ascii="宋体" w:hAnsi="宋体" w:hint="eastAsia"/>
                <w:bCs/>
                <w:iCs/>
                <w:szCs w:val="21"/>
              </w:rPr>
              <w:t>。</w:t>
            </w:r>
          </w:p>
          <w:p w:rsidR="008A678C" w:rsidRPr="008A678C" w:rsidRDefault="008A678C" w:rsidP="008A678C">
            <w:pPr>
              <w:rPr>
                <w:rFonts w:ascii="宋体" w:hAnsi="宋体"/>
                <w:b/>
                <w:bCs/>
                <w:iCs/>
                <w:szCs w:val="21"/>
              </w:rPr>
            </w:pPr>
            <w:r w:rsidRPr="008A678C">
              <w:rPr>
                <w:rFonts w:ascii="宋体" w:hAnsi="宋体" w:hint="eastAsia"/>
                <w:b/>
                <w:bCs/>
                <w:iCs/>
                <w:szCs w:val="21"/>
              </w:rPr>
              <w:t>问题1：公司的产业布局？</w:t>
            </w:r>
          </w:p>
          <w:p w:rsidR="008A678C" w:rsidRPr="008A678C" w:rsidRDefault="00735399" w:rsidP="008A678C">
            <w:pPr>
              <w:ind w:firstLineChars="200" w:firstLine="420"/>
              <w:rPr>
                <w:rFonts w:ascii="宋体" w:hAnsi="宋体"/>
                <w:bCs/>
                <w:iCs/>
                <w:szCs w:val="21"/>
              </w:rPr>
            </w:pPr>
            <w:r>
              <w:rPr>
                <w:rFonts w:ascii="宋体" w:hAnsi="宋体" w:hint="eastAsia"/>
                <w:bCs/>
                <w:iCs/>
                <w:szCs w:val="21"/>
              </w:rPr>
              <w:t>公司自2015年开始</w:t>
            </w:r>
            <w:r w:rsidR="008A678C" w:rsidRPr="008A678C">
              <w:rPr>
                <w:rFonts w:ascii="宋体" w:hAnsi="宋体" w:hint="eastAsia"/>
                <w:bCs/>
                <w:iCs/>
                <w:szCs w:val="21"/>
              </w:rPr>
              <w:t>围绕“北斗+”进行</w:t>
            </w:r>
            <w:r>
              <w:rPr>
                <w:rFonts w:ascii="宋体" w:hAnsi="宋体" w:hint="eastAsia"/>
                <w:bCs/>
                <w:iCs/>
                <w:szCs w:val="21"/>
              </w:rPr>
              <w:t>了</w:t>
            </w:r>
            <w:r w:rsidR="008A678C" w:rsidRPr="008A678C">
              <w:rPr>
                <w:rFonts w:ascii="宋体" w:hAnsi="宋体" w:hint="eastAsia"/>
                <w:bCs/>
                <w:iCs/>
                <w:szCs w:val="21"/>
              </w:rPr>
              <w:t>一系列产业并购</w:t>
            </w:r>
            <w:r>
              <w:rPr>
                <w:rFonts w:ascii="宋体" w:hAnsi="宋体" w:hint="eastAsia"/>
                <w:bCs/>
                <w:iCs/>
                <w:szCs w:val="21"/>
              </w:rPr>
              <w:t>，</w:t>
            </w:r>
            <w:r w:rsidR="008A678C" w:rsidRPr="008A678C">
              <w:rPr>
                <w:rFonts w:ascii="宋体" w:hAnsi="宋体" w:hint="eastAsia"/>
                <w:bCs/>
                <w:iCs/>
                <w:szCs w:val="21"/>
              </w:rPr>
              <w:t>其中，2015年通过发行股份购</w:t>
            </w:r>
            <w:r w:rsidR="00492B0A">
              <w:rPr>
                <w:rFonts w:ascii="宋体" w:hAnsi="宋体" w:hint="eastAsia"/>
                <w:bCs/>
                <w:iCs/>
                <w:szCs w:val="21"/>
              </w:rPr>
              <w:t>买资产</w:t>
            </w:r>
            <w:r>
              <w:rPr>
                <w:rFonts w:ascii="宋体" w:hAnsi="宋体" w:hint="eastAsia"/>
                <w:bCs/>
                <w:iCs/>
                <w:szCs w:val="21"/>
              </w:rPr>
              <w:t>方式</w:t>
            </w:r>
            <w:r w:rsidR="00492B0A">
              <w:rPr>
                <w:rFonts w:ascii="宋体" w:hAnsi="宋体" w:hint="eastAsia"/>
                <w:bCs/>
                <w:iCs/>
                <w:szCs w:val="21"/>
              </w:rPr>
              <w:t>收购了华信天线和佳利</w:t>
            </w:r>
            <w:r w:rsidR="00117A6A">
              <w:rPr>
                <w:rFonts w:ascii="宋体" w:hAnsi="宋体" w:hint="eastAsia"/>
                <w:bCs/>
                <w:iCs/>
                <w:szCs w:val="21"/>
              </w:rPr>
              <w:t>电子</w:t>
            </w:r>
            <w:r w:rsidR="00492B0A">
              <w:rPr>
                <w:rFonts w:ascii="宋体" w:hAnsi="宋体" w:hint="eastAsia"/>
                <w:bCs/>
                <w:iCs/>
                <w:szCs w:val="21"/>
              </w:rPr>
              <w:t>，华信天线</w:t>
            </w:r>
            <w:r w:rsidR="006B14DE">
              <w:rPr>
                <w:rFonts w:ascii="宋体" w:hAnsi="宋体" w:hint="eastAsia"/>
                <w:bCs/>
                <w:iCs/>
                <w:szCs w:val="21"/>
              </w:rPr>
              <w:t>的</w:t>
            </w:r>
            <w:r w:rsidR="00492B0A">
              <w:rPr>
                <w:rFonts w:ascii="宋体" w:hAnsi="宋体" w:hint="eastAsia"/>
                <w:bCs/>
                <w:iCs/>
                <w:szCs w:val="21"/>
              </w:rPr>
              <w:t>高精度产品</w:t>
            </w:r>
            <w:r w:rsidR="006B14DE">
              <w:rPr>
                <w:rFonts w:ascii="宋体" w:hAnsi="宋体" w:hint="eastAsia"/>
                <w:bCs/>
                <w:iCs/>
                <w:szCs w:val="21"/>
              </w:rPr>
              <w:t>主要</w:t>
            </w:r>
            <w:r w:rsidR="00492B0A">
              <w:rPr>
                <w:rFonts w:ascii="宋体" w:hAnsi="宋体" w:hint="eastAsia"/>
                <w:bCs/>
                <w:iCs/>
                <w:szCs w:val="21"/>
              </w:rPr>
              <w:t>应用于测量测绘领域；佳利电子</w:t>
            </w:r>
            <w:r w:rsidR="00117A6A">
              <w:rPr>
                <w:rFonts w:ascii="宋体" w:hAnsi="宋体" w:hint="eastAsia"/>
                <w:bCs/>
                <w:iCs/>
                <w:szCs w:val="21"/>
              </w:rPr>
              <w:t>的</w:t>
            </w:r>
            <w:r w:rsidR="006B14DE">
              <w:rPr>
                <w:rFonts w:ascii="宋体" w:hAnsi="宋体" w:hint="eastAsia"/>
                <w:bCs/>
                <w:iCs/>
                <w:szCs w:val="21"/>
              </w:rPr>
              <w:t>天线与陶瓷元器件</w:t>
            </w:r>
            <w:r w:rsidR="008A678C" w:rsidRPr="008A678C">
              <w:rPr>
                <w:rFonts w:ascii="宋体" w:hAnsi="宋体" w:hint="eastAsia"/>
                <w:bCs/>
                <w:iCs/>
                <w:szCs w:val="21"/>
              </w:rPr>
              <w:t>主要应用在5G方面。2016年</w:t>
            </w:r>
            <w:r>
              <w:rPr>
                <w:rFonts w:ascii="宋体" w:hAnsi="宋体" w:hint="eastAsia"/>
                <w:bCs/>
                <w:iCs/>
                <w:szCs w:val="21"/>
              </w:rPr>
              <w:t>实施非公开发行引入“</w:t>
            </w:r>
            <w:r w:rsidRPr="008A678C">
              <w:rPr>
                <w:rFonts w:ascii="宋体" w:hAnsi="宋体" w:hint="eastAsia"/>
                <w:bCs/>
                <w:iCs/>
                <w:szCs w:val="21"/>
              </w:rPr>
              <w:t>大基金</w:t>
            </w:r>
            <w:r>
              <w:rPr>
                <w:rFonts w:ascii="宋体" w:hAnsi="宋体" w:hint="eastAsia"/>
                <w:bCs/>
                <w:iCs/>
                <w:szCs w:val="21"/>
              </w:rPr>
              <w:t>”</w:t>
            </w:r>
            <w:r w:rsidR="008A678C" w:rsidRPr="008A678C">
              <w:rPr>
                <w:rFonts w:ascii="宋体" w:hAnsi="宋体" w:hint="eastAsia"/>
                <w:bCs/>
                <w:iCs/>
                <w:szCs w:val="21"/>
              </w:rPr>
              <w:t>，</w:t>
            </w:r>
            <w:r>
              <w:rPr>
                <w:rFonts w:ascii="宋体" w:hAnsi="宋体" w:hint="eastAsia"/>
                <w:bCs/>
                <w:iCs/>
                <w:szCs w:val="21"/>
              </w:rPr>
              <w:t>主要的</w:t>
            </w:r>
            <w:proofErr w:type="gramStart"/>
            <w:r>
              <w:rPr>
                <w:rFonts w:ascii="宋体" w:hAnsi="宋体" w:hint="eastAsia"/>
                <w:bCs/>
                <w:iCs/>
                <w:szCs w:val="21"/>
              </w:rPr>
              <w:t>募投项目</w:t>
            </w:r>
            <w:proofErr w:type="gramEnd"/>
            <w:r w:rsidR="00964594">
              <w:rPr>
                <w:rFonts w:ascii="宋体" w:hAnsi="宋体" w:hint="eastAsia"/>
                <w:bCs/>
                <w:iCs/>
                <w:szCs w:val="21"/>
              </w:rPr>
              <w:t>涵盖</w:t>
            </w:r>
            <w:r w:rsidR="00154BBA">
              <w:rPr>
                <w:rFonts w:ascii="宋体" w:hAnsi="宋体" w:hint="eastAsia"/>
                <w:bCs/>
                <w:iCs/>
                <w:szCs w:val="21"/>
              </w:rPr>
              <w:t>：</w:t>
            </w:r>
            <w:r>
              <w:rPr>
                <w:rFonts w:ascii="宋体" w:hAnsi="宋体" w:hint="eastAsia"/>
                <w:bCs/>
                <w:iCs/>
                <w:szCs w:val="21"/>
              </w:rPr>
              <w:t>针对卫星高精度定位市场的</w:t>
            </w:r>
            <w:r w:rsidR="00964594">
              <w:rPr>
                <w:rFonts w:ascii="宋体" w:hAnsi="宋体" w:hint="eastAsia"/>
                <w:bCs/>
                <w:iCs/>
                <w:szCs w:val="21"/>
              </w:rPr>
              <w:t>芯片及模块板卡</w:t>
            </w:r>
            <w:r w:rsidR="008A678C" w:rsidRPr="008A678C">
              <w:rPr>
                <w:rFonts w:ascii="宋体" w:hAnsi="宋体" w:hint="eastAsia"/>
                <w:bCs/>
                <w:iCs/>
                <w:szCs w:val="21"/>
              </w:rPr>
              <w:t>、</w:t>
            </w:r>
            <w:r w:rsidR="00964594">
              <w:rPr>
                <w:rFonts w:ascii="宋体" w:hAnsi="宋体" w:hint="eastAsia"/>
                <w:bCs/>
                <w:iCs/>
                <w:szCs w:val="21"/>
              </w:rPr>
              <w:t>针对消费类及行业类应用市场的芯片、</w:t>
            </w:r>
            <w:r>
              <w:rPr>
                <w:rFonts w:ascii="宋体" w:hAnsi="宋体" w:hint="eastAsia"/>
                <w:bCs/>
                <w:iCs/>
                <w:szCs w:val="21"/>
              </w:rPr>
              <w:t>以及为用户提供辅助定位和高精度定位的云端数据服务</w:t>
            </w:r>
            <w:r w:rsidR="008A678C" w:rsidRPr="008A678C">
              <w:rPr>
                <w:rFonts w:ascii="宋体" w:hAnsi="宋体" w:hint="eastAsia"/>
                <w:bCs/>
                <w:iCs/>
                <w:szCs w:val="21"/>
              </w:rPr>
              <w:t>。2017年收购了杭州</w:t>
            </w:r>
            <w:proofErr w:type="gramStart"/>
            <w:r w:rsidR="008A678C" w:rsidRPr="008A678C">
              <w:rPr>
                <w:rFonts w:ascii="宋体" w:hAnsi="宋体" w:hint="eastAsia"/>
                <w:bCs/>
                <w:iCs/>
                <w:szCs w:val="21"/>
              </w:rPr>
              <w:t>凯</w:t>
            </w:r>
            <w:proofErr w:type="gramEnd"/>
            <w:r w:rsidR="008A678C" w:rsidRPr="008A678C">
              <w:rPr>
                <w:rFonts w:ascii="宋体" w:hAnsi="宋体" w:hint="eastAsia"/>
                <w:bCs/>
                <w:iCs/>
                <w:szCs w:val="21"/>
              </w:rPr>
              <w:t>立、德国in-tech和加拿大Rx。in-tech</w:t>
            </w:r>
            <w:r w:rsidR="00964594">
              <w:rPr>
                <w:rFonts w:ascii="宋体" w:hAnsi="宋体" w:hint="eastAsia"/>
                <w:bCs/>
                <w:iCs/>
                <w:szCs w:val="21"/>
              </w:rPr>
              <w:t>作为汽车工程服务商</w:t>
            </w:r>
            <w:r w:rsidR="008A678C" w:rsidRPr="008A678C">
              <w:rPr>
                <w:rFonts w:ascii="宋体" w:hAnsi="宋体" w:hint="eastAsia"/>
                <w:bCs/>
                <w:iCs/>
                <w:szCs w:val="21"/>
              </w:rPr>
              <w:t>主要</w:t>
            </w:r>
            <w:r w:rsidR="00964594">
              <w:rPr>
                <w:rFonts w:ascii="宋体" w:hAnsi="宋体" w:hint="eastAsia"/>
                <w:bCs/>
                <w:iCs/>
                <w:szCs w:val="21"/>
              </w:rPr>
              <w:t>从事</w:t>
            </w:r>
            <w:r w:rsidR="008A678C" w:rsidRPr="008A678C">
              <w:rPr>
                <w:rFonts w:ascii="宋体" w:hAnsi="宋体" w:hint="eastAsia"/>
                <w:bCs/>
                <w:iCs/>
                <w:szCs w:val="21"/>
              </w:rPr>
              <w:t>电子电器的测试，</w:t>
            </w:r>
            <w:r w:rsidR="006F52F9">
              <w:rPr>
                <w:rFonts w:ascii="宋体" w:hAnsi="宋体" w:hint="eastAsia"/>
                <w:bCs/>
                <w:iCs/>
                <w:szCs w:val="21"/>
              </w:rPr>
              <w:t>其</w:t>
            </w:r>
            <w:r w:rsidR="00964594">
              <w:rPr>
                <w:rFonts w:ascii="宋体" w:hAnsi="宋体" w:hint="eastAsia"/>
                <w:bCs/>
                <w:iCs/>
                <w:szCs w:val="21"/>
              </w:rPr>
              <w:t>主要</w:t>
            </w:r>
            <w:r w:rsidR="008A678C" w:rsidRPr="008A678C">
              <w:rPr>
                <w:rFonts w:ascii="宋体" w:hAnsi="宋体" w:hint="eastAsia"/>
                <w:bCs/>
                <w:iCs/>
                <w:szCs w:val="21"/>
              </w:rPr>
              <w:t>客户</w:t>
            </w:r>
            <w:r w:rsidR="00964594">
              <w:rPr>
                <w:rFonts w:ascii="宋体" w:hAnsi="宋体" w:hint="eastAsia"/>
                <w:bCs/>
                <w:iCs/>
                <w:szCs w:val="21"/>
              </w:rPr>
              <w:t>有</w:t>
            </w:r>
            <w:r w:rsidR="008A678C" w:rsidRPr="008A678C">
              <w:rPr>
                <w:rFonts w:ascii="宋体" w:hAnsi="宋体" w:hint="eastAsia"/>
                <w:bCs/>
                <w:iCs/>
                <w:szCs w:val="21"/>
              </w:rPr>
              <w:t>宝马</w:t>
            </w:r>
            <w:r w:rsidR="00964594">
              <w:rPr>
                <w:rFonts w:ascii="宋体" w:hAnsi="宋体" w:hint="eastAsia"/>
                <w:bCs/>
                <w:iCs/>
                <w:szCs w:val="21"/>
              </w:rPr>
              <w:t>、奥迪</w:t>
            </w:r>
            <w:r w:rsidR="008A678C" w:rsidRPr="008A678C">
              <w:rPr>
                <w:rFonts w:ascii="宋体" w:hAnsi="宋体" w:hint="eastAsia"/>
                <w:bCs/>
                <w:iCs/>
                <w:szCs w:val="21"/>
              </w:rPr>
              <w:t>和大众； Rx</w:t>
            </w:r>
            <w:r w:rsidR="00964594">
              <w:rPr>
                <w:rFonts w:ascii="宋体" w:hAnsi="宋体" w:hint="eastAsia"/>
                <w:bCs/>
                <w:iCs/>
                <w:szCs w:val="21"/>
              </w:rPr>
              <w:t>作为一家提供定位服务的供应商，</w:t>
            </w:r>
            <w:r w:rsidR="008A678C" w:rsidRPr="008A678C">
              <w:rPr>
                <w:rFonts w:ascii="宋体" w:hAnsi="宋体" w:hint="eastAsia"/>
                <w:bCs/>
                <w:iCs/>
                <w:szCs w:val="21"/>
              </w:rPr>
              <w:t>主要客户为</w:t>
            </w:r>
            <w:r w:rsidR="00402420">
              <w:rPr>
                <w:rFonts w:ascii="宋体" w:hAnsi="宋体" w:hint="eastAsia"/>
                <w:bCs/>
                <w:iCs/>
                <w:szCs w:val="21"/>
              </w:rPr>
              <w:t>北美的芯片厂商和移动运营商</w:t>
            </w:r>
            <w:r w:rsidR="00492B0A">
              <w:rPr>
                <w:rFonts w:ascii="宋体" w:hAnsi="宋体" w:hint="eastAsia"/>
                <w:bCs/>
                <w:iCs/>
                <w:szCs w:val="21"/>
              </w:rPr>
              <w:t>，收入比较稳定。</w:t>
            </w:r>
            <w:r w:rsidR="00154BBA">
              <w:rPr>
                <w:rFonts w:ascii="宋体" w:hAnsi="宋体" w:hint="eastAsia"/>
                <w:bCs/>
                <w:iCs/>
                <w:szCs w:val="21"/>
              </w:rPr>
              <w:t>通过公司的大营销机制，</w:t>
            </w:r>
            <w:r w:rsidR="00964594">
              <w:rPr>
                <w:rFonts w:ascii="宋体" w:hAnsi="宋体" w:hint="eastAsia"/>
                <w:bCs/>
                <w:iCs/>
                <w:szCs w:val="21"/>
              </w:rPr>
              <w:t>借助公司营销协同</w:t>
            </w:r>
            <w:r w:rsidR="00154BBA">
              <w:rPr>
                <w:rFonts w:ascii="宋体" w:hAnsi="宋体" w:hint="eastAsia"/>
                <w:bCs/>
                <w:iCs/>
                <w:szCs w:val="21"/>
              </w:rPr>
              <w:t>平台</w:t>
            </w:r>
            <w:r w:rsidR="00964594">
              <w:rPr>
                <w:rFonts w:ascii="宋体" w:hAnsi="宋体" w:hint="eastAsia"/>
                <w:bCs/>
                <w:iCs/>
                <w:szCs w:val="21"/>
              </w:rPr>
              <w:t>，</w:t>
            </w:r>
            <w:r w:rsidR="008A678C" w:rsidRPr="008A678C">
              <w:rPr>
                <w:rFonts w:ascii="宋体" w:hAnsi="宋体" w:hint="eastAsia"/>
                <w:bCs/>
                <w:iCs/>
                <w:szCs w:val="21"/>
              </w:rPr>
              <w:t>Rx与和</w:t>
            </w:r>
            <w:proofErr w:type="gramStart"/>
            <w:r w:rsidR="008A678C" w:rsidRPr="008A678C">
              <w:rPr>
                <w:rFonts w:ascii="宋体" w:hAnsi="宋体" w:hint="eastAsia"/>
                <w:bCs/>
                <w:iCs/>
                <w:szCs w:val="21"/>
              </w:rPr>
              <w:t>芯星通</w:t>
            </w:r>
            <w:r w:rsidR="00964594">
              <w:rPr>
                <w:rFonts w:ascii="宋体" w:hAnsi="宋体" w:hint="eastAsia"/>
                <w:bCs/>
                <w:iCs/>
                <w:szCs w:val="21"/>
              </w:rPr>
              <w:t>共同</w:t>
            </w:r>
            <w:proofErr w:type="gramEnd"/>
            <w:r w:rsidR="00964594">
              <w:rPr>
                <w:rFonts w:ascii="宋体" w:hAnsi="宋体" w:hint="eastAsia"/>
                <w:bCs/>
                <w:iCs/>
                <w:szCs w:val="21"/>
              </w:rPr>
              <w:t>发挥</w:t>
            </w:r>
            <w:r w:rsidR="00964594" w:rsidRPr="008A678C">
              <w:rPr>
                <w:rFonts w:ascii="宋体" w:hAnsi="宋体" w:hint="eastAsia"/>
                <w:bCs/>
                <w:iCs/>
                <w:szCs w:val="21"/>
              </w:rPr>
              <w:t>高精度定位与辅助定位</w:t>
            </w:r>
            <w:r w:rsidR="00964594">
              <w:rPr>
                <w:rFonts w:ascii="宋体" w:hAnsi="宋体" w:hint="eastAsia"/>
                <w:bCs/>
                <w:iCs/>
                <w:szCs w:val="21"/>
              </w:rPr>
              <w:t>的协同效应，</w:t>
            </w:r>
            <w:r w:rsidR="00402420">
              <w:rPr>
                <w:rFonts w:ascii="宋体" w:hAnsi="宋体" w:hint="eastAsia"/>
                <w:bCs/>
                <w:iCs/>
                <w:szCs w:val="21"/>
              </w:rPr>
              <w:t>正在构建“IC+云”的高精度服务</w:t>
            </w:r>
            <w:r w:rsidR="00154BBA">
              <w:rPr>
                <w:rFonts w:ascii="宋体" w:hAnsi="宋体" w:hint="eastAsia"/>
                <w:bCs/>
                <w:iCs/>
                <w:szCs w:val="21"/>
              </w:rPr>
              <w:t>体系</w:t>
            </w:r>
            <w:r w:rsidR="009E6F0C">
              <w:rPr>
                <w:rFonts w:ascii="宋体" w:hAnsi="宋体" w:hint="eastAsia"/>
                <w:bCs/>
                <w:iCs/>
                <w:szCs w:val="21"/>
              </w:rPr>
              <w:t>，</w:t>
            </w:r>
            <w:r w:rsidR="00154BBA">
              <w:rPr>
                <w:rFonts w:ascii="宋体" w:hAnsi="宋体" w:hint="eastAsia"/>
                <w:bCs/>
                <w:iCs/>
                <w:szCs w:val="21"/>
              </w:rPr>
              <w:t>以期</w:t>
            </w:r>
            <w:r w:rsidR="008A678C" w:rsidRPr="008A678C">
              <w:rPr>
                <w:rFonts w:ascii="宋体" w:hAnsi="宋体" w:hint="eastAsia"/>
                <w:bCs/>
                <w:iCs/>
                <w:szCs w:val="21"/>
              </w:rPr>
              <w:t>形成高精度云服务。2020</w:t>
            </w:r>
            <w:r w:rsidR="006F52F9">
              <w:rPr>
                <w:rFonts w:ascii="宋体" w:hAnsi="宋体" w:hint="eastAsia"/>
                <w:bCs/>
                <w:iCs/>
                <w:szCs w:val="21"/>
              </w:rPr>
              <w:t>年在高精度定位服务这一领域</w:t>
            </w:r>
            <w:r w:rsidR="008A678C" w:rsidRPr="008A678C">
              <w:rPr>
                <w:rFonts w:ascii="宋体" w:hAnsi="宋体" w:hint="eastAsia"/>
                <w:bCs/>
                <w:iCs/>
                <w:szCs w:val="21"/>
              </w:rPr>
              <w:t>争取能有商用落地</w:t>
            </w:r>
            <w:r w:rsidR="009E6F0C">
              <w:rPr>
                <w:rFonts w:ascii="宋体" w:hAnsi="宋体" w:hint="eastAsia"/>
                <w:bCs/>
                <w:iCs/>
                <w:szCs w:val="21"/>
              </w:rPr>
              <w:t>的客户</w:t>
            </w:r>
            <w:r w:rsidR="008A678C" w:rsidRPr="008A678C">
              <w:rPr>
                <w:rFonts w:ascii="宋体" w:hAnsi="宋体" w:hint="eastAsia"/>
                <w:bCs/>
                <w:iCs/>
                <w:szCs w:val="21"/>
              </w:rPr>
              <w:t>。</w:t>
            </w:r>
          </w:p>
          <w:p w:rsidR="008A678C" w:rsidRDefault="00154BBA" w:rsidP="008A678C">
            <w:pPr>
              <w:ind w:firstLineChars="200" w:firstLine="420"/>
              <w:rPr>
                <w:rFonts w:ascii="宋体" w:hAnsi="宋体"/>
                <w:bCs/>
                <w:iCs/>
                <w:szCs w:val="21"/>
              </w:rPr>
            </w:pPr>
            <w:r>
              <w:rPr>
                <w:rFonts w:ascii="宋体" w:hAnsi="宋体" w:hint="eastAsia"/>
                <w:bCs/>
                <w:iCs/>
                <w:szCs w:val="21"/>
              </w:rPr>
              <w:t>公司通过</w:t>
            </w:r>
            <w:r w:rsidR="008A678C" w:rsidRPr="008A678C">
              <w:rPr>
                <w:rFonts w:ascii="宋体" w:hAnsi="宋体" w:hint="eastAsia"/>
                <w:bCs/>
                <w:iCs/>
                <w:szCs w:val="21"/>
              </w:rPr>
              <w:t>外延式收购完成了</w:t>
            </w:r>
            <w:r w:rsidR="009E6F0C">
              <w:rPr>
                <w:rFonts w:ascii="宋体" w:hAnsi="宋体" w:hint="eastAsia"/>
                <w:bCs/>
                <w:iCs/>
                <w:szCs w:val="21"/>
              </w:rPr>
              <w:t>“1+</w:t>
            </w:r>
            <w:r w:rsidR="009E6F0C">
              <w:rPr>
                <w:rFonts w:ascii="宋体" w:hAnsi="宋体"/>
                <w:bCs/>
                <w:iCs/>
                <w:szCs w:val="21"/>
              </w:rPr>
              <w:t>1</w:t>
            </w:r>
            <w:r w:rsidR="009E6F0C">
              <w:rPr>
                <w:rFonts w:ascii="宋体" w:hAnsi="宋体" w:hint="eastAsia"/>
                <w:bCs/>
                <w:iCs/>
                <w:szCs w:val="21"/>
              </w:rPr>
              <w:t>”</w:t>
            </w:r>
            <w:r w:rsidR="008A678C" w:rsidRPr="008A678C">
              <w:rPr>
                <w:rFonts w:ascii="宋体" w:hAnsi="宋体" w:hint="eastAsia"/>
                <w:bCs/>
                <w:iCs/>
                <w:szCs w:val="21"/>
              </w:rPr>
              <w:t>的</w:t>
            </w:r>
            <w:r w:rsidR="009E6F0C">
              <w:rPr>
                <w:rFonts w:ascii="宋体" w:hAnsi="宋体" w:hint="eastAsia"/>
                <w:bCs/>
                <w:iCs/>
                <w:szCs w:val="21"/>
              </w:rPr>
              <w:t>战略</w:t>
            </w:r>
            <w:r w:rsidR="008A678C" w:rsidRPr="008A678C">
              <w:rPr>
                <w:rFonts w:ascii="宋体" w:hAnsi="宋体" w:hint="eastAsia"/>
                <w:bCs/>
                <w:iCs/>
                <w:szCs w:val="21"/>
              </w:rPr>
              <w:t>布局，</w:t>
            </w:r>
            <w:r w:rsidR="00FD52A0">
              <w:rPr>
                <w:rFonts w:ascii="宋体" w:hAnsi="宋体" w:hint="eastAsia"/>
                <w:bCs/>
                <w:iCs/>
                <w:szCs w:val="21"/>
              </w:rPr>
              <w:t>不但促进了公司规模化发展，</w:t>
            </w:r>
            <w:r w:rsidR="008A678C" w:rsidRPr="008A678C">
              <w:rPr>
                <w:rFonts w:ascii="宋体" w:hAnsi="宋体" w:hint="eastAsia"/>
                <w:bCs/>
                <w:iCs/>
                <w:szCs w:val="21"/>
              </w:rPr>
              <w:t>也对公司</w:t>
            </w:r>
            <w:r w:rsidR="00FD52A0">
              <w:rPr>
                <w:rFonts w:ascii="宋体" w:hAnsi="宋体" w:hint="eastAsia"/>
                <w:bCs/>
                <w:iCs/>
                <w:szCs w:val="21"/>
              </w:rPr>
              <w:t>的</w:t>
            </w:r>
            <w:r w:rsidR="008A678C" w:rsidRPr="008A678C">
              <w:rPr>
                <w:rFonts w:ascii="宋体" w:hAnsi="宋体" w:hint="eastAsia"/>
                <w:bCs/>
                <w:iCs/>
                <w:szCs w:val="21"/>
              </w:rPr>
              <w:t>业绩</w:t>
            </w:r>
            <w:r w:rsidR="00FD52A0">
              <w:rPr>
                <w:rFonts w:ascii="宋体" w:hAnsi="宋体" w:hint="eastAsia"/>
                <w:bCs/>
                <w:iCs/>
                <w:szCs w:val="21"/>
              </w:rPr>
              <w:t>提升</w:t>
            </w:r>
            <w:r w:rsidR="009E6F0C">
              <w:rPr>
                <w:rFonts w:ascii="宋体" w:hAnsi="宋体" w:hint="eastAsia"/>
                <w:bCs/>
                <w:iCs/>
                <w:szCs w:val="21"/>
              </w:rPr>
              <w:t>发挥了重要作用</w:t>
            </w:r>
            <w:r w:rsidR="008A678C" w:rsidRPr="008A678C">
              <w:rPr>
                <w:rFonts w:ascii="宋体" w:hAnsi="宋体" w:hint="eastAsia"/>
                <w:bCs/>
                <w:iCs/>
                <w:szCs w:val="21"/>
              </w:rPr>
              <w:t>。2017年、2018年，北斗星通的</w:t>
            </w:r>
            <w:proofErr w:type="gramStart"/>
            <w:r w:rsidR="009E6F0C">
              <w:rPr>
                <w:rFonts w:ascii="宋体" w:hAnsi="宋体" w:hint="eastAsia"/>
                <w:bCs/>
                <w:iCs/>
                <w:szCs w:val="21"/>
              </w:rPr>
              <w:t>归母</w:t>
            </w:r>
            <w:r w:rsidR="008A678C" w:rsidRPr="008A678C">
              <w:rPr>
                <w:rFonts w:ascii="宋体" w:hAnsi="宋体" w:hint="eastAsia"/>
                <w:bCs/>
                <w:iCs/>
                <w:szCs w:val="21"/>
              </w:rPr>
              <w:t>净利润</w:t>
            </w:r>
            <w:proofErr w:type="gramEnd"/>
            <w:r w:rsidR="008A678C" w:rsidRPr="008A678C">
              <w:rPr>
                <w:rFonts w:ascii="宋体" w:hAnsi="宋体" w:hint="eastAsia"/>
                <w:bCs/>
                <w:iCs/>
                <w:szCs w:val="21"/>
              </w:rPr>
              <w:t>均突破了1亿元的门槛。相较于此前数年3000万元至5000万元的净利润规模实现了数倍增长。</w:t>
            </w:r>
            <w:r w:rsidR="009E6F0C">
              <w:rPr>
                <w:rFonts w:ascii="宋体" w:hAnsi="宋体" w:hint="eastAsia"/>
                <w:bCs/>
                <w:iCs/>
                <w:szCs w:val="21"/>
              </w:rPr>
              <w:t>但并购也积累了一定的风险，如商誉</w:t>
            </w:r>
            <w:r w:rsidR="00343061">
              <w:rPr>
                <w:rFonts w:ascii="宋体" w:hAnsi="宋体" w:hint="eastAsia"/>
                <w:bCs/>
                <w:iCs/>
                <w:szCs w:val="21"/>
              </w:rPr>
              <w:t>，</w:t>
            </w:r>
            <w:r w:rsidR="009E6F0C">
              <w:rPr>
                <w:rFonts w:ascii="宋体" w:hAnsi="宋体" w:hint="eastAsia"/>
                <w:bCs/>
                <w:iCs/>
                <w:szCs w:val="21"/>
              </w:rPr>
              <w:t>对公司的管理也是一种考验。因此，下一步公司</w:t>
            </w:r>
            <w:r w:rsidR="00FD52A0">
              <w:rPr>
                <w:rFonts w:ascii="宋体" w:hAnsi="宋体" w:hint="eastAsia"/>
                <w:bCs/>
                <w:iCs/>
                <w:szCs w:val="21"/>
              </w:rPr>
              <w:t>将以“内生增长”作为</w:t>
            </w:r>
            <w:r w:rsidR="009E6F0C">
              <w:rPr>
                <w:rFonts w:ascii="宋体" w:hAnsi="宋体" w:hint="eastAsia"/>
                <w:bCs/>
                <w:iCs/>
                <w:szCs w:val="21"/>
              </w:rPr>
              <w:t>管理</w:t>
            </w:r>
            <w:r w:rsidR="00FD52A0">
              <w:rPr>
                <w:rFonts w:ascii="宋体" w:hAnsi="宋体" w:hint="eastAsia"/>
                <w:bCs/>
                <w:iCs/>
                <w:szCs w:val="21"/>
              </w:rPr>
              <w:t>工作</w:t>
            </w:r>
            <w:r w:rsidR="009E6F0C">
              <w:rPr>
                <w:rFonts w:ascii="宋体" w:hAnsi="宋体" w:hint="eastAsia"/>
                <w:bCs/>
                <w:iCs/>
                <w:szCs w:val="21"/>
              </w:rPr>
              <w:t>重点，通过内部挖潜和协同，把核心业务做扎实。</w:t>
            </w:r>
          </w:p>
          <w:p w:rsidR="00FD52A0" w:rsidRDefault="00FD52A0" w:rsidP="008A678C">
            <w:pPr>
              <w:ind w:firstLineChars="200" w:firstLine="420"/>
              <w:rPr>
                <w:rFonts w:ascii="宋体" w:hAnsi="宋体"/>
                <w:bCs/>
                <w:iCs/>
                <w:szCs w:val="21"/>
              </w:rPr>
            </w:pPr>
          </w:p>
          <w:p w:rsidR="008A678C" w:rsidRPr="008A678C" w:rsidRDefault="008A678C" w:rsidP="008A678C">
            <w:pPr>
              <w:rPr>
                <w:rFonts w:ascii="宋体" w:hAnsi="宋体"/>
                <w:b/>
                <w:bCs/>
                <w:iCs/>
                <w:szCs w:val="21"/>
              </w:rPr>
            </w:pPr>
            <w:r w:rsidRPr="008A678C">
              <w:rPr>
                <w:rFonts w:ascii="宋体" w:hAnsi="宋体" w:hint="eastAsia"/>
                <w:b/>
                <w:bCs/>
                <w:iCs/>
                <w:szCs w:val="21"/>
              </w:rPr>
              <w:lastRenderedPageBreak/>
              <w:t>问题2：公司的战略规划</w:t>
            </w:r>
            <w:r w:rsidR="00540311">
              <w:rPr>
                <w:rFonts w:ascii="宋体" w:hAnsi="宋体" w:hint="eastAsia"/>
                <w:b/>
                <w:bCs/>
                <w:iCs/>
                <w:szCs w:val="21"/>
              </w:rPr>
              <w:t>？</w:t>
            </w:r>
          </w:p>
          <w:p w:rsidR="008A678C" w:rsidRPr="008A678C" w:rsidRDefault="008A678C" w:rsidP="008A678C">
            <w:pPr>
              <w:ind w:firstLineChars="200" w:firstLine="420"/>
              <w:rPr>
                <w:rFonts w:ascii="宋体" w:hAnsi="宋体"/>
                <w:bCs/>
                <w:iCs/>
                <w:szCs w:val="21"/>
              </w:rPr>
            </w:pPr>
            <w:r w:rsidRPr="008A678C">
              <w:rPr>
                <w:rFonts w:ascii="宋体" w:hAnsi="宋体" w:hint="eastAsia"/>
                <w:bCs/>
                <w:iCs/>
                <w:szCs w:val="21"/>
              </w:rPr>
              <w:t>“1+1”的战略：第一个“1”基础产品板块，加大芯片的投入，带动基础产品板块的发展，成为公司的核心竞争力。公司从2009年开始研发芯片，目前芯片在行业内已经是处于领先地位，公司的芯片、高精度板卡、天线、陶瓷元器件在北斗全球化应用、5G等方面面临着前所未有的机遇。因此我们接下来将加强对卫星导航产品尤其是芯片的研发投入和人才培养布局、加大对陶瓷介质滤波器与LTCC元器件的资源条件配置布局</w:t>
            </w:r>
            <w:r w:rsidR="009E6F0C">
              <w:rPr>
                <w:rFonts w:ascii="宋体" w:hAnsi="宋体" w:hint="eastAsia"/>
                <w:bCs/>
                <w:iCs/>
                <w:szCs w:val="21"/>
              </w:rPr>
              <w:t>。高精度天线的</w:t>
            </w:r>
            <w:r w:rsidRPr="008A678C">
              <w:rPr>
                <w:rFonts w:ascii="宋体" w:hAnsi="宋体" w:hint="eastAsia"/>
                <w:bCs/>
                <w:iCs/>
                <w:szCs w:val="21"/>
              </w:rPr>
              <w:t>优势</w:t>
            </w:r>
            <w:r w:rsidR="009E6F0C">
              <w:rPr>
                <w:rFonts w:ascii="宋体" w:hAnsi="宋体" w:hint="eastAsia"/>
                <w:bCs/>
                <w:iCs/>
                <w:szCs w:val="21"/>
              </w:rPr>
              <w:t>依然保持技术领先，</w:t>
            </w:r>
            <w:r w:rsidRPr="008A678C">
              <w:rPr>
                <w:rFonts w:ascii="宋体" w:hAnsi="宋体" w:hint="eastAsia"/>
                <w:bCs/>
                <w:iCs/>
                <w:szCs w:val="21"/>
              </w:rPr>
              <w:t>在日前由主管机关发布的北斗全球系统高精度基础类产品中标公告，公司的高精度天线在经历了</w:t>
            </w:r>
            <w:proofErr w:type="gramStart"/>
            <w:r w:rsidRPr="008A678C">
              <w:rPr>
                <w:rFonts w:ascii="宋体" w:hAnsi="宋体" w:hint="eastAsia"/>
                <w:bCs/>
                <w:iCs/>
                <w:szCs w:val="21"/>
              </w:rPr>
              <w:t>多轮比测后</w:t>
            </w:r>
            <w:proofErr w:type="gramEnd"/>
            <w:r w:rsidRPr="008A678C">
              <w:rPr>
                <w:rFonts w:ascii="宋体" w:hAnsi="宋体" w:hint="eastAsia"/>
                <w:bCs/>
                <w:iCs/>
                <w:szCs w:val="21"/>
              </w:rPr>
              <w:t>最终排名第一。另一个“1”智能网联：虽然汽车产业正在经历周期性波谷，但长期看还会迎来新的增长期。公司仍旧看好汽车智能网</w:t>
            </w:r>
            <w:proofErr w:type="gramStart"/>
            <w:r w:rsidRPr="008A678C">
              <w:rPr>
                <w:rFonts w:ascii="宋体" w:hAnsi="宋体" w:hint="eastAsia"/>
                <w:bCs/>
                <w:iCs/>
                <w:szCs w:val="21"/>
              </w:rPr>
              <w:t>联业务</w:t>
            </w:r>
            <w:proofErr w:type="gramEnd"/>
            <w:r w:rsidRPr="008A678C">
              <w:rPr>
                <w:rFonts w:ascii="宋体" w:hAnsi="宋体" w:hint="eastAsia"/>
                <w:bCs/>
                <w:iCs/>
                <w:szCs w:val="21"/>
              </w:rPr>
              <w:t>方向，将继续保持战略定力，苦练内功，专注于IVI、数字仪表业务，提升产品竞争力和市场占有率，同时控制好经营中的风险，使其经营更加稳健。</w:t>
            </w:r>
          </w:p>
          <w:p w:rsidR="008A678C" w:rsidRPr="008A678C" w:rsidRDefault="005C57DE" w:rsidP="008A678C">
            <w:pPr>
              <w:rPr>
                <w:rFonts w:ascii="宋体" w:hAnsi="宋体"/>
                <w:b/>
                <w:bCs/>
                <w:iCs/>
                <w:szCs w:val="21"/>
              </w:rPr>
            </w:pPr>
            <w:r>
              <w:rPr>
                <w:rFonts w:ascii="宋体" w:hAnsi="宋体" w:hint="eastAsia"/>
                <w:b/>
                <w:bCs/>
                <w:iCs/>
                <w:szCs w:val="21"/>
              </w:rPr>
              <w:t>问题3：</w:t>
            </w:r>
            <w:r w:rsidR="008A678C" w:rsidRPr="008A678C">
              <w:rPr>
                <w:rFonts w:ascii="宋体" w:hAnsi="宋体" w:hint="eastAsia"/>
                <w:b/>
                <w:bCs/>
                <w:iCs/>
                <w:szCs w:val="21"/>
              </w:rPr>
              <w:t>公司对2019年业绩亏损的风险采取的应对措施？</w:t>
            </w:r>
          </w:p>
          <w:p w:rsidR="005C57DE" w:rsidRDefault="008A678C" w:rsidP="008A678C">
            <w:pPr>
              <w:ind w:firstLineChars="200" w:firstLine="420"/>
              <w:rPr>
                <w:rFonts w:ascii="宋体" w:hAnsi="宋体"/>
                <w:bCs/>
                <w:iCs/>
                <w:szCs w:val="21"/>
              </w:rPr>
            </w:pPr>
            <w:r w:rsidRPr="008A678C">
              <w:rPr>
                <w:rFonts w:ascii="宋体" w:hAnsi="宋体" w:hint="eastAsia"/>
                <w:bCs/>
                <w:iCs/>
                <w:szCs w:val="21"/>
              </w:rPr>
              <w:t>已采取的风险应对措施：</w:t>
            </w:r>
          </w:p>
          <w:p w:rsidR="005C57DE" w:rsidRDefault="008A678C" w:rsidP="008A678C">
            <w:pPr>
              <w:ind w:firstLineChars="200" w:firstLine="420"/>
              <w:rPr>
                <w:rFonts w:ascii="宋体" w:hAnsi="宋体"/>
                <w:bCs/>
                <w:iCs/>
                <w:szCs w:val="21"/>
              </w:rPr>
            </w:pPr>
            <w:r w:rsidRPr="008A678C">
              <w:rPr>
                <w:rFonts w:ascii="宋体" w:hAnsi="宋体" w:hint="eastAsia"/>
                <w:bCs/>
                <w:iCs/>
                <w:szCs w:val="21"/>
              </w:rPr>
              <w:t>1、聚焦核心业务，确保现金流安全，</w:t>
            </w:r>
            <w:r w:rsidR="005C57DE">
              <w:rPr>
                <w:rFonts w:ascii="宋体" w:hAnsi="宋体" w:hint="eastAsia"/>
                <w:bCs/>
                <w:iCs/>
                <w:szCs w:val="21"/>
              </w:rPr>
              <w:t>如</w:t>
            </w:r>
            <w:r w:rsidRPr="008A678C">
              <w:rPr>
                <w:rFonts w:ascii="宋体" w:hAnsi="宋体" w:hint="eastAsia"/>
                <w:bCs/>
                <w:iCs/>
                <w:szCs w:val="21"/>
              </w:rPr>
              <w:t>佳利电子收缩</w:t>
            </w:r>
            <w:proofErr w:type="gramStart"/>
            <w:r w:rsidRPr="008A678C">
              <w:rPr>
                <w:rFonts w:ascii="宋体" w:hAnsi="宋体" w:hint="eastAsia"/>
                <w:bCs/>
                <w:iCs/>
                <w:szCs w:val="21"/>
              </w:rPr>
              <w:t>了蓝牙</w:t>
            </w:r>
            <w:proofErr w:type="gramEnd"/>
            <w:r w:rsidRPr="008A678C">
              <w:rPr>
                <w:rFonts w:ascii="宋体" w:hAnsi="宋体" w:hint="eastAsia"/>
                <w:bCs/>
                <w:iCs/>
                <w:szCs w:val="21"/>
              </w:rPr>
              <w:t>/WIFI模组代工业务，抓住5G基站建设和终端对陶瓷元器件需求激增的机遇，加大在微波陶瓷元器件业务上的投入，2019年底已经获得了国内主要通讯设备商的供应商认证，订单逐步落地；结合对2019年度融资环境的考虑，公司于2019年下半年开始进一步</w:t>
            </w:r>
            <w:r w:rsidR="005C57DE">
              <w:rPr>
                <w:rFonts w:ascii="宋体" w:hAnsi="宋体" w:hint="eastAsia"/>
                <w:bCs/>
                <w:iCs/>
                <w:szCs w:val="21"/>
              </w:rPr>
              <w:t>压</w:t>
            </w:r>
            <w:r w:rsidRPr="008A678C">
              <w:rPr>
                <w:rFonts w:ascii="宋体" w:hAnsi="宋体" w:hint="eastAsia"/>
                <w:bCs/>
                <w:iCs/>
                <w:szCs w:val="21"/>
              </w:rPr>
              <w:t>缩</w:t>
            </w:r>
            <w:proofErr w:type="gramStart"/>
            <w:r w:rsidR="005C57DE">
              <w:rPr>
                <w:rFonts w:ascii="宋体" w:hAnsi="宋体" w:hint="eastAsia"/>
                <w:bCs/>
                <w:iCs/>
                <w:szCs w:val="21"/>
              </w:rPr>
              <w:t>广东伟通的</w:t>
            </w:r>
            <w:proofErr w:type="gramEnd"/>
            <w:r w:rsidRPr="008A678C">
              <w:rPr>
                <w:rFonts w:ascii="宋体" w:hAnsi="宋体" w:hint="eastAsia"/>
                <w:bCs/>
                <w:iCs/>
                <w:szCs w:val="21"/>
              </w:rPr>
              <w:t>以租代建业务投入并转向逐步回收相关账款；对市场尚不明确、短期内难以实现商业化落地的项目进行评估，采取减少预算或暂停项目等方式节约现金。</w:t>
            </w:r>
          </w:p>
          <w:p w:rsidR="005C57DE" w:rsidRDefault="008A678C" w:rsidP="008A678C">
            <w:pPr>
              <w:ind w:firstLineChars="200" w:firstLine="420"/>
              <w:rPr>
                <w:rFonts w:ascii="宋体" w:hAnsi="宋体"/>
                <w:bCs/>
                <w:iCs/>
                <w:szCs w:val="21"/>
              </w:rPr>
            </w:pPr>
            <w:r w:rsidRPr="008A678C">
              <w:rPr>
                <w:rFonts w:ascii="宋体" w:hAnsi="宋体" w:hint="eastAsia"/>
                <w:bCs/>
                <w:iCs/>
                <w:szCs w:val="21"/>
              </w:rPr>
              <w:t>2、特种行业、新型高精度应用市场快速增长，加大研发投入和市场开拓力度：公司积极抓住特种行业随着军</w:t>
            </w:r>
            <w:proofErr w:type="gramStart"/>
            <w:r w:rsidRPr="008A678C">
              <w:rPr>
                <w:rFonts w:ascii="宋体" w:hAnsi="宋体" w:hint="eastAsia"/>
                <w:bCs/>
                <w:iCs/>
                <w:szCs w:val="21"/>
              </w:rPr>
              <w:t>改结束</w:t>
            </w:r>
            <w:proofErr w:type="gramEnd"/>
            <w:r w:rsidRPr="008A678C">
              <w:rPr>
                <w:rFonts w:ascii="宋体" w:hAnsi="宋体" w:hint="eastAsia"/>
                <w:bCs/>
                <w:iCs/>
                <w:szCs w:val="21"/>
              </w:rPr>
              <w:t>后的补偿性采购机遇，公司该类业务收入增长较快，预计较2018年度增长50%以上；随着无人机、智能驾驶、智慧农业等新型高精度应用市场的扩大和快速增长，公司芯片业务同比增长30%以上，其中高精度板卡出货达到20万片，出货量同比增长170%。</w:t>
            </w:r>
          </w:p>
          <w:p w:rsidR="008A678C" w:rsidRPr="008A678C" w:rsidRDefault="008A678C" w:rsidP="008A678C">
            <w:pPr>
              <w:ind w:firstLineChars="200" w:firstLine="420"/>
              <w:rPr>
                <w:rFonts w:ascii="宋体" w:hAnsi="宋体"/>
                <w:bCs/>
                <w:iCs/>
                <w:szCs w:val="21"/>
              </w:rPr>
            </w:pPr>
            <w:r w:rsidRPr="008A678C">
              <w:rPr>
                <w:rFonts w:ascii="宋体" w:hAnsi="宋体" w:hint="eastAsia"/>
                <w:bCs/>
                <w:iCs/>
                <w:szCs w:val="21"/>
              </w:rPr>
              <w:t>3、整合智能网联业务，与远</w:t>
            </w:r>
            <w:proofErr w:type="gramStart"/>
            <w:r w:rsidRPr="008A678C">
              <w:rPr>
                <w:rFonts w:ascii="宋体" w:hAnsi="宋体" w:hint="eastAsia"/>
                <w:bCs/>
                <w:iCs/>
                <w:szCs w:val="21"/>
              </w:rPr>
              <w:t>特</w:t>
            </w:r>
            <w:proofErr w:type="gramEnd"/>
            <w:r w:rsidRPr="008A678C">
              <w:rPr>
                <w:rFonts w:ascii="宋体" w:hAnsi="宋体" w:hint="eastAsia"/>
                <w:bCs/>
                <w:iCs/>
                <w:szCs w:val="21"/>
              </w:rPr>
              <w:t>科技合并，取得规模效应，鉴于2019年度乘用车行业增速下滑，正处于“智能化、网联化、电气化、共享化”技术变革期，公司2019年度完成了旗下智能网</w:t>
            </w:r>
            <w:proofErr w:type="gramStart"/>
            <w:r w:rsidRPr="008A678C">
              <w:rPr>
                <w:rFonts w:ascii="宋体" w:hAnsi="宋体" w:hint="eastAsia"/>
                <w:bCs/>
                <w:iCs/>
                <w:szCs w:val="21"/>
              </w:rPr>
              <w:t>联业务</w:t>
            </w:r>
            <w:proofErr w:type="gramEnd"/>
            <w:r w:rsidRPr="008A678C">
              <w:rPr>
                <w:rFonts w:ascii="宋体" w:hAnsi="宋体" w:hint="eastAsia"/>
                <w:bCs/>
                <w:iCs/>
                <w:szCs w:val="21"/>
              </w:rPr>
              <w:t>与远</w:t>
            </w:r>
            <w:proofErr w:type="gramStart"/>
            <w:r w:rsidRPr="008A678C">
              <w:rPr>
                <w:rFonts w:ascii="宋体" w:hAnsi="宋体" w:hint="eastAsia"/>
                <w:bCs/>
                <w:iCs/>
                <w:szCs w:val="21"/>
              </w:rPr>
              <w:t>特</w:t>
            </w:r>
            <w:proofErr w:type="gramEnd"/>
            <w:r w:rsidRPr="008A678C">
              <w:rPr>
                <w:rFonts w:ascii="宋体" w:hAnsi="宋体" w:hint="eastAsia"/>
                <w:bCs/>
                <w:iCs/>
                <w:szCs w:val="21"/>
              </w:rPr>
              <w:t>科技的合并，以获取规模效应和丰富客户资源，通过规模采购降本、研发资源共享、生产合并等方式发挥协同效应，整合效应正在逐步显现。</w:t>
            </w:r>
          </w:p>
          <w:p w:rsidR="008A678C" w:rsidRPr="008A678C" w:rsidRDefault="008A678C" w:rsidP="008A678C">
            <w:pPr>
              <w:rPr>
                <w:rFonts w:ascii="宋体" w:hAnsi="宋体"/>
                <w:b/>
                <w:bCs/>
                <w:iCs/>
                <w:szCs w:val="21"/>
              </w:rPr>
            </w:pPr>
            <w:r w:rsidRPr="008A678C">
              <w:rPr>
                <w:rFonts w:ascii="宋体" w:hAnsi="宋体" w:hint="eastAsia"/>
                <w:b/>
                <w:bCs/>
                <w:iCs/>
                <w:szCs w:val="21"/>
              </w:rPr>
              <w:t>问题4</w:t>
            </w:r>
            <w:r w:rsidR="005C57DE">
              <w:rPr>
                <w:rFonts w:ascii="宋体" w:hAnsi="宋体" w:hint="eastAsia"/>
                <w:b/>
                <w:bCs/>
                <w:iCs/>
                <w:szCs w:val="21"/>
              </w:rPr>
              <w:t>：</w:t>
            </w:r>
            <w:r w:rsidRPr="008A678C">
              <w:rPr>
                <w:rFonts w:ascii="宋体" w:hAnsi="宋体" w:hint="eastAsia"/>
                <w:b/>
                <w:bCs/>
                <w:iCs/>
                <w:szCs w:val="21"/>
              </w:rPr>
              <w:t>北斗三</w:t>
            </w:r>
            <w:proofErr w:type="gramStart"/>
            <w:r w:rsidRPr="008A678C">
              <w:rPr>
                <w:rFonts w:ascii="宋体" w:hAnsi="宋体" w:hint="eastAsia"/>
                <w:b/>
                <w:bCs/>
                <w:iCs/>
                <w:szCs w:val="21"/>
              </w:rPr>
              <w:t>号</w:t>
            </w:r>
            <w:r w:rsidR="00540311">
              <w:rPr>
                <w:rFonts w:ascii="宋体" w:hAnsi="宋体" w:hint="eastAsia"/>
                <w:b/>
                <w:bCs/>
                <w:iCs/>
                <w:szCs w:val="21"/>
              </w:rPr>
              <w:t>组网成功</w:t>
            </w:r>
            <w:proofErr w:type="gramEnd"/>
            <w:r w:rsidRPr="008A678C">
              <w:rPr>
                <w:rFonts w:ascii="宋体" w:hAnsi="宋体" w:hint="eastAsia"/>
                <w:b/>
                <w:bCs/>
                <w:iCs/>
                <w:szCs w:val="21"/>
              </w:rPr>
              <w:t xml:space="preserve">对公司有什么影响？ </w:t>
            </w:r>
          </w:p>
          <w:p w:rsidR="002F788B" w:rsidRPr="008A678C" w:rsidRDefault="005C57DE" w:rsidP="00A111A4">
            <w:pPr>
              <w:ind w:firstLineChars="200" w:firstLine="420"/>
              <w:rPr>
                <w:rFonts w:ascii="宋体" w:hAnsi="宋体"/>
                <w:bCs/>
                <w:iCs/>
                <w:szCs w:val="21"/>
              </w:rPr>
            </w:pPr>
            <w:r w:rsidRPr="00261419">
              <w:rPr>
                <w:rFonts w:ascii="宋体" w:hAnsi="宋体"/>
                <w:bCs/>
                <w:iCs/>
                <w:szCs w:val="21"/>
              </w:rPr>
              <w:t>北斗三</w:t>
            </w:r>
            <w:r w:rsidR="00261419">
              <w:rPr>
                <w:rFonts w:ascii="宋体" w:hAnsi="宋体"/>
                <w:bCs/>
                <w:iCs/>
                <w:szCs w:val="21"/>
              </w:rPr>
              <w:t>将于</w:t>
            </w:r>
            <w:r w:rsidRPr="00261419">
              <w:rPr>
                <w:rFonts w:ascii="宋体" w:hAnsi="宋体" w:hint="eastAsia"/>
                <w:bCs/>
                <w:iCs/>
                <w:szCs w:val="21"/>
              </w:rPr>
              <w:t>2020年完成全球组网，</w:t>
            </w:r>
            <w:r w:rsidRPr="00261419">
              <w:rPr>
                <w:rFonts w:ascii="宋体" w:hAnsi="宋体"/>
                <w:bCs/>
                <w:iCs/>
                <w:szCs w:val="21"/>
              </w:rPr>
              <w:t>继承北斗特色，对标世界一流</w:t>
            </w:r>
            <w:r w:rsidR="00A111A4" w:rsidRPr="00261419">
              <w:rPr>
                <w:rFonts w:ascii="宋体" w:hAnsi="宋体" w:hint="eastAsia"/>
                <w:bCs/>
                <w:iCs/>
                <w:szCs w:val="21"/>
              </w:rPr>
              <w:t>（美国GPS）</w:t>
            </w:r>
            <w:r w:rsidR="00A111A4" w:rsidRPr="00261419">
              <w:rPr>
                <w:rFonts w:ascii="宋体" w:hAnsi="宋体"/>
                <w:bCs/>
                <w:iCs/>
                <w:szCs w:val="21"/>
              </w:rPr>
              <w:t>，增加星间链路、全球搜索救援等新功能，播发性能更优的导航信号</w:t>
            </w:r>
            <w:r w:rsidR="00A111A4" w:rsidRPr="00261419">
              <w:rPr>
                <w:rFonts w:ascii="宋体" w:hAnsi="宋体" w:hint="eastAsia"/>
                <w:bCs/>
                <w:iCs/>
                <w:szCs w:val="21"/>
              </w:rPr>
              <w:t>，</w:t>
            </w:r>
            <w:r w:rsidRPr="00261419">
              <w:rPr>
                <w:rFonts w:ascii="宋体" w:hAnsi="宋体"/>
                <w:bCs/>
                <w:iCs/>
                <w:szCs w:val="21"/>
              </w:rPr>
              <w:t>定位精度2.5至5米，较北斗二号提升1至2倍</w:t>
            </w:r>
            <w:r w:rsidR="008A678C" w:rsidRPr="008A678C">
              <w:rPr>
                <w:rFonts w:ascii="宋体" w:hAnsi="宋体" w:hint="eastAsia"/>
                <w:bCs/>
                <w:iCs/>
                <w:szCs w:val="21"/>
              </w:rPr>
              <w:t>。</w:t>
            </w:r>
            <w:r w:rsidR="00A111A4" w:rsidRPr="00261419">
              <w:rPr>
                <w:rFonts w:ascii="宋体" w:hAnsi="宋体"/>
                <w:bCs/>
                <w:iCs/>
                <w:szCs w:val="21"/>
              </w:rPr>
              <w:t>在应用产业化方面，已形成完整产业链，北斗在国家安全和重点领域将加速</w:t>
            </w:r>
            <w:proofErr w:type="gramStart"/>
            <w:r w:rsidR="00A111A4" w:rsidRPr="00261419">
              <w:rPr>
                <w:rFonts w:ascii="宋体" w:hAnsi="宋体"/>
                <w:bCs/>
                <w:iCs/>
                <w:szCs w:val="21"/>
              </w:rPr>
              <w:t>标配化</w:t>
            </w:r>
            <w:proofErr w:type="gramEnd"/>
            <w:r w:rsidR="00A111A4" w:rsidRPr="00261419">
              <w:rPr>
                <w:rFonts w:ascii="宋体" w:hAnsi="宋体"/>
                <w:bCs/>
                <w:iCs/>
                <w:szCs w:val="21"/>
              </w:rPr>
              <w:t>使用，在大众消费领域规模化应用，正在催生“北斗+”融合应用新模式。</w:t>
            </w:r>
            <w:r w:rsidR="00A111A4" w:rsidRPr="00261419">
              <w:rPr>
                <w:rFonts w:ascii="宋体" w:hAnsi="宋体" w:hint="eastAsia"/>
                <w:bCs/>
                <w:iCs/>
                <w:szCs w:val="21"/>
              </w:rPr>
              <w:t>2019年12月27日国务院新闻发布会上展示的22NM的芯片就是北斗星通自主研发的，这颗芯片是多系统双核双频、低功耗抗</w:t>
            </w:r>
            <w:r w:rsidR="00A111A4" w:rsidRPr="00261419">
              <w:rPr>
                <w:rFonts w:ascii="宋体" w:hAnsi="宋体"/>
                <w:bCs/>
                <w:iCs/>
                <w:szCs w:val="21"/>
              </w:rPr>
              <w:t>多径，车</w:t>
            </w:r>
            <w:proofErr w:type="gramStart"/>
            <w:r w:rsidR="00A111A4" w:rsidRPr="00261419">
              <w:rPr>
                <w:rFonts w:ascii="宋体" w:hAnsi="宋体"/>
                <w:bCs/>
                <w:iCs/>
                <w:szCs w:val="21"/>
              </w:rPr>
              <w:t>规</w:t>
            </w:r>
            <w:proofErr w:type="gramEnd"/>
            <w:r w:rsidR="00A111A4" w:rsidRPr="00261419">
              <w:rPr>
                <w:rFonts w:ascii="宋体" w:hAnsi="宋体"/>
                <w:bCs/>
                <w:iCs/>
                <w:szCs w:val="21"/>
              </w:rPr>
              <w:t>级</w:t>
            </w:r>
            <w:proofErr w:type="gramStart"/>
            <w:r w:rsidR="00A111A4" w:rsidRPr="00261419">
              <w:rPr>
                <w:rFonts w:ascii="宋体" w:hAnsi="宋体"/>
                <w:bCs/>
                <w:iCs/>
                <w:szCs w:val="21"/>
              </w:rPr>
              <w:t>四系统八频</w:t>
            </w:r>
            <w:proofErr w:type="gramEnd"/>
            <w:r w:rsidR="00A111A4" w:rsidRPr="00261419">
              <w:rPr>
                <w:rFonts w:ascii="宋体" w:hAnsi="宋体"/>
                <w:bCs/>
                <w:iCs/>
                <w:szCs w:val="21"/>
              </w:rPr>
              <w:t>原始观测引擎，面向大众、消费类、物联网市场</w:t>
            </w:r>
            <w:r w:rsidR="00A111A4" w:rsidRPr="00261419">
              <w:rPr>
                <w:rFonts w:ascii="宋体" w:hAnsi="宋体" w:hint="eastAsia"/>
                <w:bCs/>
                <w:iCs/>
                <w:szCs w:val="21"/>
              </w:rPr>
              <w:t>。总体上，</w:t>
            </w:r>
            <w:r w:rsidR="00A111A4" w:rsidRPr="00261419">
              <w:rPr>
                <w:rFonts w:ascii="宋体" w:hAnsi="宋体"/>
                <w:bCs/>
                <w:iCs/>
                <w:szCs w:val="21"/>
              </w:rPr>
              <w:t>北斗全球组网</w:t>
            </w:r>
            <w:r w:rsidR="00A111A4" w:rsidRPr="00261419">
              <w:rPr>
                <w:rFonts w:ascii="宋体" w:hAnsi="宋体" w:hint="eastAsia"/>
                <w:bCs/>
                <w:iCs/>
                <w:szCs w:val="21"/>
              </w:rPr>
              <w:t>市场应用的广度和深度加速，对公司及业内企业来说是个好事。</w:t>
            </w:r>
          </w:p>
        </w:tc>
      </w:tr>
      <w:tr w:rsidR="0003060F" w:rsidRPr="00E82F93" w:rsidTr="00D57185">
        <w:tc>
          <w:tcPr>
            <w:tcW w:w="2014" w:type="dxa"/>
            <w:vAlign w:val="center"/>
          </w:tcPr>
          <w:p w:rsidR="0003060F" w:rsidRPr="00E82F93" w:rsidRDefault="0003060F" w:rsidP="001C4B8D">
            <w:pPr>
              <w:spacing w:line="480" w:lineRule="atLeast"/>
              <w:jc w:val="center"/>
              <w:rPr>
                <w:rFonts w:ascii="宋体" w:hAnsi="宋体"/>
                <w:b/>
                <w:bCs/>
                <w:iCs/>
                <w:sz w:val="24"/>
                <w:szCs w:val="24"/>
              </w:rPr>
            </w:pPr>
            <w:r w:rsidRPr="00E82F93">
              <w:rPr>
                <w:rFonts w:ascii="宋体" w:hAnsi="宋体" w:hint="eastAsia"/>
                <w:b/>
                <w:bCs/>
                <w:iCs/>
                <w:sz w:val="24"/>
                <w:szCs w:val="24"/>
              </w:rPr>
              <w:lastRenderedPageBreak/>
              <w:t>附件清单（如有）</w:t>
            </w:r>
          </w:p>
        </w:tc>
        <w:tc>
          <w:tcPr>
            <w:tcW w:w="7654" w:type="dxa"/>
          </w:tcPr>
          <w:p w:rsidR="0003060F" w:rsidRPr="00E82F93" w:rsidRDefault="0003060F">
            <w:pPr>
              <w:spacing w:line="480" w:lineRule="atLeast"/>
              <w:rPr>
                <w:rFonts w:ascii="宋体" w:hAnsi="宋体"/>
                <w:bCs/>
                <w:iCs/>
                <w:sz w:val="24"/>
                <w:szCs w:val="24"/>
              </w:rPr>
            </w:pPr>
            <w:r w:rsidRPr="00E82F93">
              <w:rPr>
                <w:rFonts w:ascii="宋体" w:hAnsi="宋体" w:hint="eastAsia"/>
                <w:bCs/>
                <w:iCs/>
                <w:sz w:val="24"/>
                <w:szCs w:val="24"/>
              </w:rPr>
              <w:t>无</w:t>
            </w:r>
          </w:p>
        </w:tc>
      </w:tr>
      <w:tr w:rsidR="0003060F" w:rsidTr="00D57185">
        <w:tc>
          <w:tcPr>
            <w:tcW w:w="2014" w:type="dxa"/>
            <w:vAlign w:val="center"/>
          </w:tcPr>
          <w:p w:rsidR="0003060F" w:rsidRPr="00E82F93" w:rsidRDefault="0003060F" w:rsidP="001C4B8D">
            <w:pPr>
              <w:spacing w:line="480" w:lineRule="atLeast"/>
              <w:jc w:val="center"/>
              <w:rPr>
                <w:rFonts w:ascii="宋体" w:hAnsi="宋体"/>
                <w:b/>
                <w:bCs/>
                <w:iCs/>
                <w:sz w:val="24"/>
                <w:szCs w:val="24"/>
              </w:rPr>
            </w:pPr>
            <w:r w:rsidRPr="00E82F93">
              <w:rPr>
                <w:rFonts w:ascii="宋体" w:hAnsi="宋体" w:hint="eastAsia"/>
                <w:b/>
                <w:bCs/>
                <w:iCs/>
                <w:sz w:val="24"/>
                <w:szCs w:val="24"/>
              </w:rPr>
              <w:t>日期</w:t>
            </w:r>
          </w:p>
        </w:tc>
        <w:tc>
          <w:tcPr>
            <w:tcW w:w="7654" w:type="dxa"/>
          </w:tcPr>
          <w:p w:rsidR="0003060F" w:rsidRDefault="008A678C" w:rsidP="008A678C">
            <w:pPr>
              <w:spacing w:line="480" w:lineRule="atLeast"/>
              <w:rPr>
                <w:rFonts w:ascii="宋体" w:hAnsi="宋体"/>
                <w:bCs/>
                <w:iCs/>
                <w:sz w:val="24"/>
                <w:szCs w:val="24"/>
              </w:rPr>
            </w:pPr>
            <w:r>
              <w:rPr>
                <w:rFonts w:ascii="宋体" w:hAnsi="宋体"/>
                <w:bCs/>
                <w:iCs/>
                <w:sz w:val="24"/>
                <w:szCs w:val="24"/>
              </w:rPr>
              <w:t>2020</w:t>
            </w:r>
            <w:r w:rsidR="0003060F" w:rsidRPr="00E82F93">
              <w:rPr>
                <w:rFonts w:ascii="宋体" w:hAnsi="宋体" w:hint="eastAsia"/>
                <w:bCs/>
                <w:iCs/>
                <w:sz w:val="24"/>
                <w:szCs w:val="24"/>
              </w:rPr>
              <w:t>年</w:t>
            </w:r>
            <w:r>
              <w:rPr>
                <w:rFonts w:ascii="宋体" w:hAnsi="宋体"/>
                <w:bCs/>
                <w:iCs/>
                <w:sz w:val="24"/>
                <w:szCs w:val="24"/>
              </w:rPr>
              <w:t>1</w:t>
            </w:r>
            <w:r w:rsidR="0003060F" w:rsidRPr="00E82F93">
              <w:rPr>
                <w:rFonts w:ascii="宋体" w:hAnsi="宋体" w:hint="eastAsia"/>
                <w:bCs/>
                <w:iCs/>
                <w:sz w:val="24"/>
                <w:szCs w:val="24"/>
              </w:rPr>
              <w:t>月</w:t>
            </w:r>
            <w:r>
              <w:rPr>
                <w:rFonts w:ascii="宋体" w:hAnsi="宋体"/>
                <w:bCs/>
                <w:iCs/>
                <w:sz w:val="24"/>
                <w:szCs w:val="24"/>
              </w:rPr>
              <w:t>20</w:t>
            </w:r>
            <w:r w:rsidR="0003060F" w:rsidRPr="00E82F93">
              <w:rPr>
                <w:rFonts w:ascii="宋体" w:hAnsi="宋体" w:hint="eastAsia"/>
                <w:bCs/>
                <w:iCs/>
                <w:sz w:val="24"/>
                <w:szCs w:val="24"/>
              </w:rPr>
              <w:t>日</w:t>
            </w:r>
          </w:p>
        </w:tc>
      </w:tr>
    </w:tbl>
    <w:p w:rsidR="00C173A7" w:rsidRDefault="00C173A7" w:rsidP="00E82F93">
      <w:pPr>
        <w:wordWrap w:val="0"/>
        <w:ind w:right="560"/>
        <w:rPr>
          <w:b/>
          <w:szCs w:val="21"/>
        </w:rPr>
      </w:pPr>
    </w:p>
    <w:sectPr w:rsidR="00C173A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D0" w:rsidRDefault="00857DD0" w:rsidP="00AE2C26">
      <w:r>
        <w:separator/>
      </w:r>
    </w:p>
  </w:endnote>
  <w:endnote w:type="continuationSeparator" w:id="0">
    <w:p w:rsidR="00857DD0" w:rsidRDefault="00857DD0" w:rsidP="00A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81" w:rsidRDefault="00927DBE">
    <w:pPr>
      <w:pStyle w:val="a6"/>
      <w:jc w:val="center"/>
    </w:pPr>
    <w:r>
      <w:rPr>
        <w:noProof/>
        <w:lang w:val="zh-CN"/>
      </w:rPr>
      <w:fldChar w:fldCharType="begin"/>
    </w:r>
    <w:r>
      <w:rPr>
        <w:noProof/>
        <w:lang w:val="zh-CN"/>
      </w:rPr>
      <w:instrText>PAGE   \* MERGEFORMAT</w:instrText>
    </w:r>
    <w:r>
      <w:rPr>
        <w:noProof/>
        <w:lang w:val="zh-CN"/>
      </w:rPr>
      <w:fldChar w:fldCharType="separate"/>
    </w:r>
    <w:r w:rsidR="00CF00F5">
      <w:rPr>
        <w:noProof/>
        <w:lang w:val="zh-CN"/>
      </w:rPr>
      <w:t>2</w:t>
    </w:r>
    <w:r>
      <w:rPr>
        <w:noProof/>
        <w:lang w:val="zh-CN"/>
      </w:rPr>
      <w:fldChar w:fldCharType="end"/>
    </w:r>
  </w:p>
  <w:p w:rsidR="006D5B81" w:rsidRDefault="006D5B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D0" w:rsidRDefault="00857DD0" w:rsidP="00AE2C26">
      <w:r>
        <w:separator/>
      </w:r>
    </w:p>
  </w:footnote>
  <w:footnote w:type="continuationSeparator" w:id="0">
    <w:p w:rsidR="00857DD0" w:rsidRDefault="00857DD0" w:rsidP="00AE2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726"/>
    <w:multiLevelType w:val="hybridMultilevel"/>
    <w:tmpl w:val="2160CFD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572AEB"/>
    <w:multiLevelType w:val="hybridMultilevel"/>
    <w:tmpl w:val="662AD08C"/>
    <w:lvl w:ilvl="0" w:tplc="7BA269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FE3711"/>
    <w:multiLevelType w:val="hybridMultilevel"/>
    <w:tmpl w:val="3076A26A"/>
    <w:lvl w:ilvl="0" w:tplc="8904DE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9B50B26"/>
    <w:multiLevelType w:val="hybridMultilevel"/>
    <w:tmpl w:val="3F7C0200"/>
    <w:lvl w:ilvl="0" w:tplc="3172718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20"/>
    <w:rsid w:val="00021EE2"/>
    <w:rsid w:val="00023F08"/>
    <w:rsid w:val="0002505A"/>
    <w:rsid w:val="00027DBB"/>
    <w:rsid w:val="0003060F"/>
    <w:rsid w:val="0003303C"/>
    <w:rsid w:val="00036529"/>
    <w:rsid w:val="00036B30"/>
    <w:rsid w:val="00040369"/>
    <w:rsid w:val="00043F49"/>
    <w:rsid w:val="00047E92"/>
    <w:rsid w:val="000521A1"/>
    <w:rsid w:val="000556AD"/>
    <w:rsid w:val="000633C0"/>
    <w:rsid w:val="00064844"/>
    <w:rsid w:val="00070818"/>
    <w:rsid w:val="00073AC9"/>
    <w:rsid w:val="00086125"/>
    <w:rsid w:val="00086D14"/>
    <w:rsid w:val="00087562"/>
    <w:rsid w:val="000A30D1"/>
    <w:rsid w:val="000A34CF"/>
    <w:rsid w:val="000B25B4"/>
    <w:rsid w:val="000B52EA"/>
    <w:rsid w:val="000C1836"/>
    <w:rsid w:val="000D1FC3"/>
    <w:rsid w:val="000F2913"/>
    <w:rsid w:val="000F2FCB"/>
    <w:rsid w:val="000F3170"/>
    <w:rsid w:val="000F62ED"/>
    <w:rsid w:val="0010625C"/>
    <w:rsid w:val="0011403E"/>
    <w:rsid w:val="00115334"/>
    <w:rsid w:val="00117A6A"/>
    <w:rsid w:val="00121779"/>
    <w:rsid w:val="0012304A"/>
    <w:rsid w:val="00125E0C"/>
    <w:rsid w:val="00127A5D"/>
    <w:rsid w:val="00136B1B"/>
    <w:rsid w:val="001371E1"/>
    <w:rsid w:val="00140E18"/>
    <w:rsid w:val="00146415"/>
    <w:rsid w:val="00150055"/>
    <w:rsid w:val="00152237"/>
    <w:rsid w:val="00152280"/>
    <w:rsid w:val="00154BBA"/>
    <w:rsid w:val="00156895"/>
    <w:rsid w:val="00162C45"/>
    <w:rsid w:val="001639F0"/>
    <w:rsid w:val="00172A27"/>
    <w:rsid w:val="001767F9"/>
    <w:rsid w:val="00176E16"/>
    <w:rsid w:val="001808DE"/>
    <w:rsid w:val="00182DDD"/>
    <w:rsid w:val="001919C4"/>
    <w:rsid w:val="00196227"/>
    <w:rsid w:val="001A3302"/>
    <w:rsid w:val="001A7D31"/>
    <w:rsid w:val="001C1621"/>
    <w:rsid w:val="001C4B8D"/>
    <w:rsid w:val="001E78F6"/>
    <w:rsid w:val="0020000C"/>
    <w:rsid w:val="00205B87"/>
    <w:rsid w:val="00205E21"/>
    <w:rsid w:val="00212C39"/>
    <w:rsid w:val="002151BF"/>
    <w:rsid w:val="00217A16"/>
    <w:rsid w:val="002217E6"/>
    <w:rsid w:val="002326D3"/>
    <w:rsid w:val="00244BCB"/>
    <w:rsid w:val="0024612A"/>
    <w:rsid w:val="0024634F"/>
    <w:rsid w:val="00251D95"/>
    <w:rsid w:val="00253E28"/>
    <w:rsid w:val="00257BB9"/>
    <w:rsid w:val="00260367"/>
    <w:rsid w:val="00261419"/>
    <w:rsid w:val="00274F28"/>
    <w:rsid w:val="00281E2E"/>
    <w:rsid w:val="00290F8F"/>
    <w:rsid w:val="00296365"/>
    <w:rsid w:val="002A0668"/>
    <w:rsid w:val="002A2B5F"/>
    <w:rsid w:val="002B0629"/>
    <w:rsid w:val="002B3BC1"/>
    <w:rsid w:val="002C26F0"/>
    <w:rsid w:val="002D5D43"/>
    <w:rsid w:val="002E2A1D"/>
    <w:rsid w:val="002F0049"/>
    <w:rsid w:val="002F1605"/>
    <w:rsid w:val="002F5A5F"/>
    <w:rsid w:val="002F788B"/>
    <w:rsid w:val="00302BEB"/>
    <w:rsid w:val="0032028E"/>
    <w:rsid w:val="00343061"/>
    <w:rsid w:val="00347062"/>
    <w:rsid w:val="00353034"/>
    <w:rsid w:val="00360234"/>
    <w:rsid w:val="00383D59"/>
    <w:rsid w:val="00386F0D"/>
    <w:rsid w:val="003A528F"/>
    <w:rsid w:val="003B206F"/>
    <w:rsid w:val="003C37EA"/>
    <w:rsid w:val="003C423A"/>
    <w:rsid w:val="003C6769"/>
    <w:rsid w:val="003C7108"/>
    <w:rsid w:val="003D1894"/>
    <w:rsid w:val="003D18E3"/>
    <w:rsid w:val="003D7F17"/>
    <w:rsid w:val="003E13B5"/>
    <w:rsid w:val="003E2828"/>
    <w:rsid w:val="003E7E03"/>
    <w:rsid w:val="003F777A"/>
    <w:rsid w:val="00402420"/>
    <w:rsid w:val="00405B49"/>
    <w:rsid w:val="0040622E"/>
    <w:rsid w:val="004075E0"/>
    <w:rsid w:val="00412EE6"/>
    <w:rsid w:val="00421216"/>
    <w:rsid w:val="00424975"/>
    <w:rsid w:val="0043281D"/>
    <w:rsid w:val="004331F8"/>
    <w:rsid w:val="0044016F"/>
    <w:rsid w:val="00443B6B"/>
    <w:rsid w:val="004515C9"/>
    <w:rsid w:val="00454C6F"/>
    <w:rsid w:val="004558DB"/>
    <w:rsid w:val="00456B5B"/>
    <w:rsid w:val="004656DB"/>
    <w:rsid w:val="0047229F"/>
    <w:rsid w:val="00474BFC"/>
    <w:rsid w:val="004911BC"/>
    <w:rsid w:val="00492B0A"/>
    <w:rsid w:val="004939B6"/>
    <w:rsid w:val="004A77D0"/>
    <w:rsid w:val="004B42A7"/>
    <w:rsid w:val="004C2991"/>
    <w:rsid w:val="004C4E32"/>
    <w:rsid w:val="004D13AF"/>
    <w:rsid w:val="004D2EEE"/>
    <w:rsid w:val="004F41B8"/>
    <w:rsid w:val="00500A39"/>
    <w:rsid w:val="00501241"/>
    <w:rsid w:val="00507CDE"/>
    <w:rsid w:val="00516947"/>
    <w:rsid w:val="0052496E"/>
    <w:rsid w:val="005254C0"/>
    <w:rsid w:val="0053774D"/>
    <w:rsid w:val="00540311"/>
    <w:rsid w:val="005449F4"/>
    <w:rsid w:val="00547092"/>
    <w:rsid w:val="00554897"/>
    <w:rsid w:val="0055625B"/>
    <w:rsid w:val="00556D5D"/>
    <w:rsid w:val="00565D2F"/>
    <w:rsid w:val="00575244"/>
    <w:rsid w:val="0058293D"/>
    <w:rsid w:val="005832FC"/>
    <w:rsid w:val="005A7BDA"/>
    <w:rsid w:val="005B285A"/>
    <w:rsid w:val="005B775F"/>
    <w:rsid w:val="005C57DE"/>
    <w:rsid w:val="005D074B"/>
    <w:rsid w:val="005D64C8"/>
    <w:rsid w:val="005F3CFE"/>
    <w:rsid w:val="00603D3A"/>
    <w:rsid w:val="00604086"/>
    <w:rsid w:val="0060555F"/>
    <w:rsid w:val="006064FD"/>
    <w:rsid w:val="00606DDC"/>
    <w:rsid w:val="00607B5F"/>
    <w:rsid w:val="00612362"/>
    <w:rsid w:val="00617AEF"/>
    <w:rsid w:val="00624766"/>
    <w:rsid w:val="006255B1"/>
    <w:rsid w:val="00642494"/>
    <w:rsid w:val="00655F5D"/>
    <w:rsid w:val="00657238"/>
    <w:rsid w:val="006601EF"/>
    <w:rsid w:val="00661875"/>
    <w:rsid w:val="0069074F"/>
    <w:rsid w:val="006A43EA"/>
    <w:rsid w:val="006B14DE"/>
    <w:rsid w:val="006B22F9"/>
    <w:rsid w:val="006C2329"/>
    <w:rsid w:val="006C24B1"/>
    <w:rsid w:val="006C39CC"/>
    <w:rsid w:val="006C74A6"/>
    <w:rsid w:val="006D4679"/>
    <w:rsid w:val="006D5B81"/>
    <w:rsid w:val="006D6680"/>
    <w:rsid w:val="006E0A4C"/>
    <w:rsid w:val="006F3300"/>
    <w:rsid w:val="006F52F9"/>
    <w:rsid w:val="007108F4"/>
    <w:rsid w:val="00714FAB"/>
    <w:rsid w:val="007152C1"/>
    <w:rsid w:val="0072405E"/>
    <w:rsid w:val="00734B4D"/>
    <w:rsid w:val="00735399"/>
    <w:rsid w:val="00746AA4"/>
    <w:rsid w:val="00754CA8"/>
    <w:rsid w:val="00774637"/>
    <w:rsid w:val="00792454"/>
    <w:rsid w:val="00794C25"/>
    <w:rsid w:val="007B5866"/>
    <w:rsid w:val="007B68D7"/>
    <w:rsid w:val="007C1CC3"/>
    <w:rsid w:val="007D60B9"/>
    <w:rsid w:val="007E4841"/>
    <w:rsid w:val="007E5725"/>
    <w:rsid w:val="007E70D6"/>
    <w:rsid w:val="007F0D31"/>
    <w:rsid w:val="007F5D1E"/>
    <w:rsid w:val="00804237"/>
    <w:rsid w:val="00814B73"/>
    <w:rsid w:val="008223AF"/>
    <w:rsid w:val="00822741"/>
    <w:rsid w:val="008521D2"/>
    <w:rsid w:val="008546D3"/>
    <w:rsid w:val="00855F4F"/>
    <w:rsid w:val="00857DD0"/>
    <w:rsid w:val="00862EFB"/>
    <w:rsid w:val="00866A92"/>
    <w:rsid w:val="00870B7F"/>
    <w:rsid w:val="008823F0"/>
    <w:rsid w:val="00892FB3"/>
    <w:rsid w:val="008956E9"/>
    <w:rsid w:val="008A391E"/>
    <w:rsid w:val="008A678C"/>
    <w:rsid w:val="008C7866"/>
    <w:rsid w:val="008D23DA"/>
    <w:rsid w:val="008D2A16"/>
    <w:rsid w:val="008F4053"/>
    <w:rsid w:val="00927DBE"/>
    <w:rsid w:val="00947A4C"/>
    <w:rsid w:val="00950698"/>
    <w:rsid w:val="00951492"/>
    <w:rsid w:val="00961CDC"/>
    <w:rsid w:val="00964594"/>
    <w:rsid w:val="00985452"/>
    <w:rsid w:val="009C6FC2"/>
    <w:rsid w:val="009C7589"/>
    <w:rsid w:val="009E03C8"/>
    <w:rsid w:val="009E6F0C"/>
    <w:rsid w:val="00A01C5E"/>
    <w:rsid w:val="00A03E12"/>
    <w:rsid w:val="00A05297"/>
    <w:rsid w:val="00A0606C"/>
    <w:rsid w:val="00A111A4"/>
    <w:rsid w:val="00A252A9"/>
    <w:rsid w:val="00A33C2F"/>
    <w:rsid w:val="00A41269"/>
    <w:rsid w:val="00A432A7"/>
    <w:rsid w:val="00A46435"/>
    <w:rsid w:val="00A74E72"/>
    <w:rsid w:val="00A761D1"/>
    <w:rsid w:val="00A82A43"/>
    <w:rsid w:val="00A911E9"/>
    <w:rsid w:val="00A960A8"/>
    <w:rsid w:val="00A97A61"/>
    <w:rsid w:val="00AB616F"/>
    <w:rsid w:val="00AC36D4"/>
    <w:rsid w:val="00AC6C6C"/>
    <w:rsid w:val="00AD4549"/>
    <w:rsid w:val="00AD6FFE"/>
    <w:rsid w:val="00AE2C26"/>
    <w:rsid w:val="00AF34F0"/>
    <w:rsid w:val="00B12296"/>
    <w:rsid w:val="00B13802"/>
    <w:rsid w:val="00B23550"/>
    <w:rsid w:val="00B371BF"/>
    <w:rsid w:val="00B401A2"/>
    <w:rsid w:val="00B438DB"/>
    <w:rsid w:val="00B44080"/>
    <w:rsid w:val="00B44EED"/>
    <w:rsid w:val="00B55E2A"/>
    <w:rsid w:val="00B66DCD"/>
    <w:rsid w:val="00B71736"/>
    <w:rsid w:val="00B92EEC"/>
    <w:rsid w:val="00BA5565"/>
    <w:rsid w:val="00BC212C"/>
    <w:rsid w:val="00BC3B8F"/>
    <w:rsid w:val="00BD5FBA"/>
    <w:rsid w:val="00BE4329"/>
    <w:rsid w:val="00BE7567"/>
    <w:rsid w:val="00C029A8"/>
    <w:rsid w:val="00C125ED"/>
    <w:rsid w:val="00C12DBF"/>
    <w:rsid w:val="00C173A7"/>
    <w:rsid w:val="00C300CA"/>
    <w:rsid w:val="00C37287"/>
    <w:rsid w:val="00C40605"/>
    <w:rsid w:val="00C449D2"/>
    <w:rsid w:val="00C52C74"/>
    <w:rsid w:val="00C616E0"/>
    <w:rsid w:val="00C938B7"/>
    <w:rsid w:val="00C9686A"/>
    <w:rsid w:val="00CA0BD8"/>
    <w:rsid w:val="00CB2D78"/>
    <w:rsid w:val="00CC2E87"/>
    <w:rsid w:val="00CC36B7"/>
    <w:rsid w:val="00CE4294"/>
    <w:rsid w:val="00CF00F5"/>
    <w:rsid w:val="00CF38CB"/>
    <w:rsid w:val="00CF53FD"/>
    <w:rsid w:val="00D05827"/>
    <w:rsid w:val="00D177F2"/>
    <w:rsid w:val="00D21950"/>
    <w:rsid w:val="00D22A06"/>
    <w:rsid w:val="00D24042"/>
    <w:rsid w:val="00D306B6"/>
    <w:rsid w:val="00D339BD"/>
    <w:rsid w:val="00D56FA9"/>
    <w:rsid w:val="00D57185"/>
    <w:rsid w:val="00D61EF2"/>
    <w:rsid w:val="00D73FD9"/>
    <w:rsid w:val="00D75AAE"/>
    <w:rsid w:val="00D94949"/>
    <w:rsid w:val="00D9577F"/>
    <w:rsid w:val="00DA008A"/>
    <w:rsid w:val="00DA2F31"/>
    <w:rsid w:val="00DB0BB4"/>
    <w:rsid w:val="00DC2287"/>
    <w:rsid w:val="00DC3787"/>
    <w:rsid w:val="00DD19D2"/>
    <w:rsid w:val="00DE3D89"/>
    <w:rsid w:val="00DE4D3A"/>
    <w:rsid w:val="00DE54F8"/>
    <w:rsid w:val="00E028B3"/>
    <w:rsid w:val="00E06702"/>
    <w:rsid w:val="00E16407"/>
    <w:rsid w:val="00E404BD"/>
    <w:rsid w:val="00E422CC"/>
    <w:rsid w:val="00E538C3"/>
    <w:rsid w:val="00E658CD"/>
    <w:rsid w:val="00E67538"/>
    <w:rsid w:val="00E752FF"/>
    <w:rsid w:val="00E82F93"/>
    <w:rsid w:val="00E83306"/>
    <w:rsid w:val="00E86AB8"/>
    <w:rsid w:val="00E924AF"/>
    <w:rsid w:val="00E9498A"/>
    <w:rsid w:val="00EA164C"/>
    <w:rsid w:val="00EB2AE1"/>
    <w:rsid w:val="00EB52E1"/>
    <w:rsid w:val="00EB727D"/>
    <w:rsid w:val="00EC4D00"/>
    <w:rsid w:val="00ED07E1"/>
    <w:rsid w:val="00ED18E2"/>
    <w:rsid w:val="00ED6198"/>
    <w:rsid w:val="00EE3359"/>
    <w:rsid w:val="00EF1EC3"/>
    <w:rsid w:val="00EF4C66"/>
    <w:rsid w:val="00F07D55"/>
    <w:rsid w:val="00F13D82"/>
    <w:rsid w:val="00F24D4B"/>
    <w:rsid w:val="00F27159"/>
    <w:rsid w:val="00F274A3"/>
    <w:rsid w:val="00F301E0"/>
    <w:rsid w:val="00F40C85"/>
    <w:rsid w:val="00F51E91"/>
    <w:rsid w:val="00F5380D"/>
    <w:rsid w:val="00F65262"/>
    <w:rsid w:val="00F65870"/>
    <w:rsid w:val="00F664B5"/>
    <w:rsid w:val="00F7007F"/>
    <w:rsid w:val="00F7269B"/>
    <w:rsid w:val="00F84FD4"/>
    <w:rsid w:val="00F91ACC"/>
    <w:rsid w:val="00F91C03"/>
    <w:rsid w:val="00FA21D4"/>
    <w:rsid w:val="00FB1E34"/>
    <w:rsid w:val="00FC0A68"/>
    <w:rsid w:val="00FC5669"/>
    <w:rsid w:val="00FD11BB"/>
    <w:rsid w:val="00FD24E8"/>
    <w:rsid w:val="00FD52A0"/>
    <w:rsid w:val="00FE2ABB"/>
    <w:rsid w:val="00FE4596"/>
    <w:rsid w:val="00FE5EA3"/>
    <w:rsid w:val="00FF3A0C"/>
    <w:rsid w:val="1B8C4B0E"/>
    <w:rsid w:val="48DE0CCF"/>
    <w:rsid w:val="5F857826"/>
    <w:rsid w:val="7938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436CDF5A-09BB-4ED5-9DB5-E7FEA03F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7D60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眉 Char"/>
    <w:link w:val="a4"/>
    <w:uiPriority w:val="99"/>
    <w:rPr>
      <w:sz w:val="18"/>
      <w:szCs w:val="18"/>
    </w:rPr>
  </w:style>
  <w:style w:type="character" w:styleId="a5">
    <w:name w:val="page number"/>
    <w:basedOn w:val="a0"/>
    <w:uiPriority w:val="99"/>
    <w:unhideWhenUsed/>
  </w:style>
  <w:style w:type="character" w:customStyle="1" w:styleId="Char1">
    <w:name w:val="页脚 Char"/>
    <w:link w:val="a6"/>
    <w:uiPriority w:val="99"/>
    <w:rPr>
      <w:sz w:val="18"/>
      <w:szCs w:val="18"/>
    </w:rPr>
  </w:style>
  <w:style w:type="paragraph" w:styleId="a7">
    <w:name w:val="List Paragraph"/>
    <w:basedOn w:val="a"/>
    <w:uiPriority w:val="34"/>
    <w:qFormat/>
    <w:pPr>
      <w:ind w:firstLineChars="200" w:firstLine="420"/>
    </w:p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apple-converted-space">
    <w:name w:val="apple-converted-space"/>
    <w:rsid w:val="00C616E0"/>
  </w:style>
  <w:style w:type="paragraph" w:styleId="a8">
    <w:name w:val="Normal (Web)"/>
    <w:basedOn w:val="a"/>
    <w:uiPriority w:val="99"/>
    <w:semiHidden/>
    <w:unhideWhenUsed/>
    <w:rsid w:val="001A7D31"/>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
    <w:uiPriority w:val="9"/>
    <w:rsid w:val="007D60B9"/>
    <w:rPr>
      <w:b/>
      <w:bCs/>
      <w:kern w:val="44"/>
      <w:sz w:val="44"/>
      <w:szCs w:val="44"/>
    </w:rPr>
  </w:style>
  <w:style w:type="character" w:styleId="a9">
    <w:name w:val="Hyperlink"/>
    <w:uiPriority w:val="99"/>
    <w:semiHidden/>
    <w:unhideWhenUsed/>
    <w:rsid w:val="00EB2AE1"/>
    <w:rPr>
      <w:color w:val="0000FF"/>
      <w:u w:val="single"/>
    </w:rPr>
  </w:style>
  <w:style w:type="paragraph" w:customStyle="1" w:styleId="Default">
    <w:name w:val="Default"/>
    <w:rsid w:val="00296365"/>
    <w:pPr>
      <w:widowControl w:val="0"/>
      <w:autoSpaceDE w:val="0"/>
      <w:autoSpaceDN w:val="0"/>
      <w:adjustRightInd w:val="0"/>
    </w:pPr>
    <w:rPr>
      <w:rFonts w:ascii="微软雅黑" w:eastAsia="微软雅黑" w:cs="微软雅黑"/>
      <w:color w:val="000000"/>
      <w:sz w:val="24"/>
      <w:szCs w:val="24"/>
    </w:rPr>
  </w:style>
  <w:style w:type="character" w:styleId="aa">
    <w:name w:val="Strong"/>
    <w:basedOn w:val="a0"/>
    <w:uiPriority w:val="22"/>
    <w:qFormat/>
    <w:rsid w:val="00A1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58546">
      <w:bodyDiv w:val="1"/>
      <w:marLeft w:val="0"/>
      <w:marRight w:val="0"/>
      <w:marTop w:val="0"/>
      <w:marBottom w:val="0"/>
      <w:divBdr>
        <w:top w:val="none" w:sz="0" w:space="0" w:color="auto"/>
        <w:left w:val="none" w:sz="0" w:space="0" w:color="auto"/>
        <w:bottom w:val="none" w:sz="0" w:space="0" w:color="auto"/>
        <w:right w:val="none" w:sz="0" w:space="0" w:color="auto"/>
      </w:divBdr>
    </w:div>
    <w:div w:id="679548368">
      <w:bodyDiv w:val="1"/>
      <w:marLeft w:val="0"/>
      <w:marRight w:val="0"/>
      <w:marTop w:val="0"/>
      <w:marBottom w:val="0"/>
      <w:divBdr>
        <w:top w:val="none" w:sz="0" w:space="0" w:color="auto"/>
        <w:left w:val="none" w:sz="0" w:space="0" w:color="auto"/>
        <w:bottom w:val="none" w:sz="0" w:space="0" w:color="auto"/>
        <w:right w:val="none" w:sz="0" w:space="0" w:color="auto"/>
      </w:divBdr>
    </w:div>
    <w:div w:id="762071343">
      <w:bodyDiv w:val="1"/>
      <w:marLeft w:val="0"/>
      <w:marRight w:val="0"/>
      <w:marTop w:val="0"/>
      <w:marBottom w:val="0"/>
      <w:divBdr>
        <w:top w:val="none" w:sz="0" w:space="0" w:color="auto"/>
        <w:left w:val="none" w:sz="0" w:space="0" w:color="auto"/>
        <w:bottom w:val="none" w:sz="0" w:space="0" w:color="auto"/>
        <w:right w:val="none" w:sz="0" w:space="0" w:color="auto"/>
      </w:divBdr>
    </w:div>
    <w:div w:id="996109739">
      <w:bodyDiv w:val="1"/>
      <w:marLeft w:val="0"/>
      <w:marRight w:val="0"/>
      <w:marTop w:val="0"/>
      <w:marBottom w:val="0"/>
      <w:divBdr>
        <w:top w:val="none" w:sz="0" w:space="0" w:color="auto"/>
        <w:left w:val="none" w:sz="0" w:space="0" w:color="auto"/>
        <w:bottom w:val="none" w:sz="0" w:space="0" w:color="auto"/>
        <w:right w:val="none" w:sz="0" w:space="0" w:color="auto"/>
      </w:divBdr>
    </w:div>
    <w:div w:id="1090127331">
      <w:bodyDiv w:val="1"/>
      <w:marLeft w:val="0"/>
      <w:marRight w:val="0"/>
      <w:marTop w:val="0"/>
      <w:marBottom w:val="0"/>
      <w:divBdr>
        <w:top w:val="none" w:sz="0" w:space="0" w:color="auto"/>
        <w:left w:val="none" w:sz="0" w:space="0" w:color="auto"/>
        <w:bottom w:val="none" w:sz="0" w:space="0" w:color="auto"/>
        <w:right w:val="none" w:sz="0" w:space="0" w:color="auto"/>
      </w:divBdr>
      <w:divsChild>
        <w:div w:id="1173104437">
          <w:marLeft w:val="274"/>
          <w:marRight w:val="0"/>
          <w:marTop w:val="0"/>
          <w:marBottom w:val="0"/>
          <w:divBdr>
            <w:top w:val="none" w:sz="0" w:space="0" w:color="auto"/>
            <w:left w:val="none" w:sz="0" w:space="0" w:color="auto"/>
            <w:bottom w:val="none" w:sz="0" w:space="0" w:color="auto"/>
            <w:right w:val="none" w:sz="0" w:space="0" w:color="auto"/>
          </w:divBdr>
        </w:div>
      </w:divsChild>
    </w:div>
    <w:div w:id="1214149427">
      <w:bodyDiv w:val="1"/>
      <w:marLeft w:val="0"/>
      <w:marRight w:val="0"/>
      <w:marTop w:val="0"/>
      <w:marBottom w:val="0"/>
      <w:divBdr>
        <w:top w:val="none" w:sz="0" w:space="0" w:color="auto"/>
        <w:left w:val="none" w:sz="0" w:space="0" w:color="auto"/>
        <w:bottom w:val="none" w:sz="0" w:space="0" w:color="auto"/>
        <w:right w:val="none" w:sz="0" w:space="0" w:color="auto"/>
      </w:divBdr>
    </w:div>
    <w:div w:id="1314214034">
      <w:bodyDiv w:val="1"/>
      <w:marLeft w:val="0"/>
      <w:marRight w:val="0"/>
      <w:marTop w:val="0"/>
      <w:marBottom w:val="0"/>
      <w:divBdr>
        <w:top w:val="none" w:sz="0" w:space="0" w:color="auto"/>
        <w:left w:val="none" w:sz="0" w:space="0" w:color="auto"/>
        <w:bottom w:val="none" w:sz="0" w:space="0" w:color="auto"/>
        <w:right w:val="none" w:sz="0" w:space="0" w:color="auto"/>
      </w:divBdr>
    </w:div>
    <w:div w:id="1422944835">
      <w:bodyDiv w:val="1"/>
      <w:marLeft w:val="0"/>
      <w:marRight w:val="0"/>
      <w:marTop w:val="0"/>
      <w:marBottom w:val="0"/>
      <w:divBdr>
        <w:top w:val="none" w:sz="0" w:space="0" w:color="auto"/>
        <w:left w:val="none" w:sz="0" w:space="0" w:color="auto"/>
        <w:bottom w:val="none" w:sz="0" w:space="0" w:color="auto"/>
        <w:right w:val="none" w:sz="0" w:space="0" w:color="auto"/>
      </w:divBdr>
    </w:div>
    <w:div w:id="1556358285">
      <w:bodyDiv w:val="1"/>
      <w:marLeft w:val="0"/>
      <w:marRight w:val="0"/>
      <w:marTop w:val="0"/>
      <w:marBottom w:val="0"/>
      <w:divBdr>
        <w:top w:val="none" w:sz="0" w:space="0" w:color="auto"/>
        <w:left w:val="none" w:sz="0" w:space="0" w:color="auto"/>
        <w:bottom w:val="none" w:sz="0" w:space="0" w:color="auto"/>
        <w:right w:val="none" w:sz="0" w:space="0" w:color="auto"/>
      </w:divBdr>
    </w:div>
    <w:div w:id="1607542069">
      <w:bodyDiv w:val="1"/>
      <w:marLeft w:val="0"/>
      <w:marRight w:val="0"/>
      <w:marTop w:val="0"/>
      <w:marBottom w:val="0"/>
      <w:divBdr>
        <w:top w:val="none" w:sz="0" w:space="0" w:color="auto"/>
        <w:left w:val="none" w:sz="0" w:space="0" w:color="auto"/>
        <w:bottom w:val="none" w:sz="0" w:space="0" w:color="auto"/>
        <w:right w:val="none" w:sz="0" w:space="0" w:color="auto"/>
      </w:divBdr>
    </w:div>
    <w:div w:id="1672415035">
      <w:bodyDiv w:val="1"/>
      <w:marLeft w:val="0"/>
      <w:marRight w:val="0"/>
      <w:marTop w:val="0"/>
      <w:marBottom w:val="0"/>
      <w:divBdr>
        <w:top w:val="none" w:sz="0" w:space="0" w:color="auto"/>
        <w:left w:val="none" w:sz="0" w:space="0" w:color="auto"/>
        <w:bottom w:val="none" w:sz="0" w:space="0" w:color="auto"/>
        <w:right w:val="none" w:sz="0" w:space="0" w:color="auto"/>
      </w:divBdr>
    </w:div>
    <w:div w:id="1825386659">
      <w:bodyDiv w:val="1"/>
      <w:marLeft w:val="0"/>
      <w:marRight w:val="0"/>
      <w:marTop w:val="0"/>
      <w:marBottom w:val="0"/>
      <w:divBdr>
        <w:top w:val="none" w:sz="0" w:space="0" w:color="auto"/>
        <w:left w:val="none" w:sz="0" w:space="0" w:color="auto"/>
        <w:bottom w:val="none" w:sz="0" w:space="0" w:color="auto"/>
        <w:right w:val="none" w:sz="0" w:space="0" w:color="auto"/>
      </w:divBdr>
    </w:div>
    <w:div w:id="1877307673">
      <w:bodyDiv w:val="1"/>
      <w:marLeft w:val="0"/>
      <w:marRight w:val="0"/>
      <w:marTop w:val="0"/>
      <w:marBottom w:val="0"/>
      <w:divBdr>
        <w:top w:val="none" w:sz="0" w:space="0" w:color="auto"/>
        <w:left w:val="none" w:sz="0" w:space="0" w:color="auto"/>
        <w:bottom w:val="none" w:sz="0" w:space="0" w:color="auto"/>
        <w:right w:val="none" w:sz="0" w:space="0" w:color="auto"/>
      </w:divBdr>
    </w:div>
    <w:div w:id="1893926501">
      <w:bodyDiv w:val="1"/>
      <w:marLeft w:val="0"/>
      <w:marRight w:val="0"/>
      <w:marTop w:val="0"/>
      <w:marBottom w:val="0"/>
      <w:divBdr>
        <w:top w:val="none" w:sz="0" w:space="0" w:color="auto"/>
        <w:left w:val="none" w:sz="0" w:space="0" w:color="auto"/>
        <w:bottom w:val="none" w:sz="0" w:space="0" w:color="auto"/>
        <w:right w:val="none" w:sz="0" w:space="0" w:color="auto"/>
      </w:divBdr>
    </w:div>
    <w:div w:id="193955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29FB-9E6F-49D2-966C-61DEAF4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359</Words>
  <Characters>2048</Characters>
  <Application>Microsoft Office Word</Application>
  <DocSecurity>0</DocSecurity>
  <PresentationFormat/>
  <Lines>17</Lines>
  <Paragraphs>4</Paragraphs>
  <Slides>0</Slides>
  <Notes>0</Notes>
  <HiddenSlides>0</HiddenSlides>
  <MMClips>0</MMClips>
  <ScaleCrop>false</ScaleCrop>
  <Company>微软中国</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北京北斗星通导航技术股份有限公司</dc:title>
  <dc:creator>USER</dc:creator>
  <cp:lastModifiedBy>葛丹</cp:lastModifiedBy>
  <cp:revision>26</cp:revision>
  <cp:lastPrinted>2020-01-21T08:52:00Z</cp:lastPrinted>
  <dcterms:created xsi:type="dcterms:W3CDTF">2019-09-19T07:57:00Z</dcterms:created>
  <dcterms:modified xsi:type="dcterms:W3CDTF">2020-01-21T09:03:00Z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