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7" w:rsidRDefault="00236FA3">
      <w:pPr>
        <w:spacing w:beforeLines="50" w:before="156" w:afterLines="50" w:after="156" w:line="400" w:lineRule="exact"/>
        <w:jc w:val="center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000998   </w:t>
      </w:r>
      <w:r>
        <w:rPr>
          <w:rFonts w:hint="eastAsia"/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 </w:t>
      </w:r>
      <w:r>
        <w:rPr>
          <w:rFonts w:hAnsi="宋体"/>
          <w:bCs/>
          <w:iCs/>
          <w:color w:val="000000"/>
          <w:sz w:val="24"/>
        </w:rPr>
        <w:t>证券简称：隆平高科</w:t>
      </w:r>
    </w:p>
    <w:p w:rsidR="00E75CA7" w:rsidRDefault="00E75CA7">
      <w:pPr>
        <w:spacing w:beforeLines="50" w:before="156" w:afterLines="50" w:after="156" w:line="400" w:lineRule="exact"/>
        <w:jc w:val="center"/>
        <w:rPr>
          <w:bCs/>
          <w:iCs/>
          <w:color w:val="000000"/>
          <w:sz w:val="24"/>
        </w:rPr>
      </w:pPr>
    </w:p>
    <w:p w:rsidR="00E75CA7" w:rsidRDefault="00236FA3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袁隆平农业高科技股份有限公司投资者关系活动记录表</w:t>
      </w:r>
    </w:p>
    <w:p w:rsidR="00E75CA7" w:rsidRDefault="00236FA3">
      <w:pPr>
        <w:spacing w:line="400" w:lineRule="exac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                                                 </w:t>
      </w:r>
    </w:p>
    <w:p w:rsidR="00E75CA7" w:rsidRDefault="00236FA3">
      <w:pPr>
        <w:spacing w:line="400" w:lineRule="exact"/>
        <w:jc w:val="righ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编号：</w:t>
      </w:r>
      <w:r>
        <w:rPr>
          <w:rFonts w:hAnsi="宋体" w:hint="eastAsia"/>
          <w:bCs/>
          <w:iCs/>
          <w:color w:val="000000"/>
          <w:sz w:val="24"/>
        </w:rPr>
        <w:t>2020-0</w:t>
      </w:r>
      <w:r w:rsidR="00797774">
        <w:rPr>
          <w:rFonts w:hAnsi="宋体" w:hint="eastAsia"/>
          <w:bCs/>
          <w:iCs/>
          <w:color w:val="000000"/>
          <w:sz w:val="24"/>
        </w:rPr>
        <w:t>2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908"/>
        <w:gridCol w:w="6989"/>
      </w:tblGrid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E75CA7" w:rsidRDefault="00E75CA7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E75CA7" w:rsidRDefault="00236FA3">
            <w:pPr>
              <w:tabs>
                <w:tab w:val="left" w:pos="3045"/>
                <w:tab w:val="center" w:pos="3199"/>
              </w:tabs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E75CA7" w:rsidRDefault="00236FA3">
            <w:pPr>
              <w:tabs>
                <w:tab w:val="center" w:pos="3199"/>
              </w:tabs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中信证券股份有限公司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盛夏、</w:t>
            </w: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熊承慧</w:t>
            </w:r>
            <w:proofErr w:type="gramEnd"/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高毅资产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张继枫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嘉</w:t>
            </w: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实</w:t>
            </w:r>
            <w:r w:rsidRPr="00C54AE6">
              <w:rPr>
                <w:rFonts w:hAnsi="宋体"/>
                <w:kern w:val="0"/>
                <w:sz w:val="24"/>
              </w:rPr>
              <w:t>基金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朱子君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博时基金管理有限公司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王诗瑶、吴威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工银瑞信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基金管理有限公司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王鹏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鹏华基金管理有限公司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谢添元</w:t>
            </w:r>
            <w:bookmarkStart w:id="0" w:name="_GoBack"/>
            <w:bookmarkEnd w:id="0"/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华</w:t>
            </w: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宝基金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陆恒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海富通基金管理有限公司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刘海</w:t>
            </w: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啸</w:t>
            </w:r>
            <w:proofErr w:type="gramEnd"/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浦银安盛基金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赵宁</w:t>
            </w:r>
          </w:p>
          <w:p w:rsidR="004A7A41" w:rsidRPr="00C54AE6" w:rsidRDefault="004A7A41" w:rsidP="004A7A41">
            <w:pPr>
              <w:spacing w:line="400" w:lineRule="exact"/>
              <w:rPr>
                <w:rFonts w:hAnsi="宋体"/>
                <w:kern w:val="0"/>
                <w:sz w:val="24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北京润晖资产管理有限公司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李勇</w:t>
            </w:r>
          </w:p>
          <w:p w:rsidR="00797774" w:rsidRPr="00B06A18" w:rsidRDefault="004A7A41" w:rsidP="004A7A41">
            <w:pPr>
              <w:spacing w:line="400" w:lineRule="exact"/>
              <w:rPr>
                <w:rFonts w:hAnsi="宋体"/>
                <w:kern w:val="0"/>
                <w:sz w:val="24"/>
                <w:highlight w:val="yellow"/>
              </w:rPr>
            </w:pPr>
            <w:r w:rsidRPr="00C54AE6">
              <w:rPr>
                <w:rFonts w:hAnsi="宋体" w:hint="eastAsia"/>
                <w:kern w:val="0"/>
                <w:sz w:val="24"/>
              </w:rPr>
              <w:t>挪威中央银行</w:t>
            </w:r>
            <w:r w:rsidRPr="00C54AE6">
              <w:rPr>
                <w:rFonts w:hAnsi="宋体" w:hint="eastAsia"/>
                <w:kern w:val="0"/>
                <w:sz w:val="24"/>
              </w:rPr>
              <w:t xml:space="preserve"> </w:t>
            </w:r>
            <w:r w:rsidRPr="00C54AE6">
              <w:rPr>
                <w:rFonts w:hAnsi="宋体" w:hint="eastAsia"/>
                <w:kern w:val="0"/>
                <w:sz w:val="24"/>
              </w:rPr>
              <w:t>胡</w:t>
            </w:r>
            <w:proofErr w:type="gramStart"/>
            <w:r w:rsidRPr="00C54AE6">
              <w:rPr>
                <w:rFonts w:hAnsi="宋体" w:hint="eastAsia"/>
                <w:kern w:val="0"/>
                <w:sz w:val="24"/>
              </w:rPr>
              <w:t>一</w:t>
            </w:r>
            <w:proofErr w:type="gramEnd"/>
            <w:r w:rsidRPr="00C54AE6">
              <w:rPr>
                <w:rFonts w:hAnsi="宋体" w:hint="eastAsia"/>
                <w:kern w:val="0"/>
                <w:sz w:val="24"/>
              </w:rPr>
              <w:t>立</w:t>
            </w:r>
          </w:p>
        </w:tc>
      </w:tr>
      <w:tr w:rsidR="00E75CA7" w:rsidTr="000E466E">
        <w:trPr>
          <w:trHeight w:val="2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 w:rsidP="00B06A18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B06A18">
              <w:rPr>
                <w:rFonts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06A18">
              <w:rPr>
                <w:rFonts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4A7A41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41" w:rsidRPr="004A7A41" w:rsidRDefault="004A7A41" w:rsidP="004A7A41">
            <w:pPr>
              <w:spacing w:line="40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 w:rsidRPr="004A7A41">
              <w:rPr>
                <w:rFonts w:hAnsi="宋体" w:hint="eastAsia"/>
                <w:bCs/>
                <w:i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41" w:rsidRPr="004A7A41" w:rsidRDefault="004A7A41" w:rsidP="004A7A41">
            <w:pPr>
              <w:spacing w:line="40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 w:rsidRPr="004A7A41">
              <w:rPr>
                <w:rFonts w:hAnsi="宋体" w:hint="eastAsia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副总裁</w:t>
            </w:r>
            <w:r>
              <w:rPr>
                <w:bCs/>
                <w:iCs/>
                <w:color w:val="000000"/>
                <w:kern w:val="0"/>
                <w:sz w:val="24"/>
              </w:rPr>
              <w:t>兼董事会秘书尹贤文</w:t>
            </w:r>
          </w:p>
          <w:p w:rsidR="003D3A84" w:rsidRPr="003D3A84" w:rsidRDefault="003D3A84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生物技术法规经理</w:t>
            </w:r>
            <w:r w:rsidRPr="003D3A84">
              <w:rPr>
                <w:rFonts w:hint="eastAsia"/>
                <w:bCs/>
                <w:iCs/>
                <w:color w:val="000000"/>
                <w:kern w:val="0"/>
                <w:sz w:val="24"/>
              </w:rPr>
              <w:t>李宁</w:t>
            </w:r>
          </w:p>
        </w:tc>
      </w:tr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8" w:rsidRDefault="00B06A18" w:rsidP="00B06A18">
            <w:pPr>
              <w:spacing w:line="440" w:lineRule="exact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一、</w:t>
            </w:r>
            <w:r w:rsidR="008F300A">
              <w:rPr>
                <w:rFonts w:hint="eastAsia"/>
                <w:color w:val="000000" w:themeColor="text1"/>
                <w:kern w:val="0"/>
                <w:sz w:val="24"/>
              </w:rPr>
              <w:t>新</w:t>
            </w:r>
            <w:r w:rsidRPr="00B06A18">
              <w:rPr>
                <w:rFonts w:hint="eastAsia"/>
                <w:color w:val="000000" w:themeColor="text1"/>
                <w:kern w:val="0"/>
                <w:sz w:val="24"/>
              </w:rPr>
              <w:t>冠肺炎疫情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对</w:t>
            </w:r>
            <w:r w:rsidRPr="00B06A18">
              <w:rPr>
                <w:rFonts w:hint="eastAsia"/>
                <w:color w:val="000000" w:themeColor="text1"/>
                <w:kern w:val="0"/>
                <w:sz w:val="24"/>
              </w:rPr>
              <w:t>公司生产经营影响</w:t>
            </w:r>
          </w:p>
          <w:p w:rsidR="00CA5AA5" w:rsidRDefault="00905289" w:rsidP="00B37B29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因</w:t>
            </w:r>
            <w:r w:rsidR="008F300A">
              <w:rPr>
                <w:rFonts w:hint="eastAsia"/>
                <w:color w:val="000000" w:themeColor="text1"/>
                <w:kern w:val="0"/>
                <w:sz w:val="24"/>
              </w:rPr>
              <w:t>新</w:t>
            </w:r>
            <w:r w:rsidRPr="00B06A18">
              <w:rPr>
                <w:rFonts w:hint="eastAsia"/>
                <w:color w:val="000000" w:themeColor="text1"/>
                <w:kern w:val="0"/>
                <w:sz w:val="24"/>
              </w:rPr>
              <w:t>冠</w:t>
            </w:r>
            <w:r w:rsidRPr="00905289">
              <w:rPr>
                <w:rFonts w:hint="eastAsia"/>
                <w:color w:val="000000" w:themeColor="text1"/>
                <w:kern w:val="0"/>
                <w:sz w:val="24"/>
              </w:rPr>
              <w:t>肺炎疫情防控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需要，</w:t>
            </w:r>
            <w:r w:rsidRPr="00905289">
              <w:rPr>
                <w:rFonts w:hint="eastAsia"/>
                <w:color w:val="000000" w:themeColor="text1"/>
                <w:kern w:val="0"/>
                <w:sz w:val="24"/>
              </w:rPr>
              <w:t>公司</w:t>
            </w:r>
            <w:r w:rsidR="008F300A">
              <w:rPr>
                <w:rFonts w:hint="eastAsia"/>
                <w:color w:val="000000" w:themeColor="text1"/>
                <w:kern w:val="0"/>
                <w:sz w:val="24"/>
              </w:rPr>
              <w:t>第一时间成立了新</w:t>
            </w:r>
            <w:r w:rsidRPr="00905289">
              <w:rPr>
                <w:rFonts w:hint="eastAsia"/>
                <w:color w:val="000000" w:themeColor="text1"/>
                <w:kern w:val="0"/>
                <w:sz w:val="24"/>
              </w:rPr>
              <w:t>冠肺炎防控小组，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结合公司优势制定精准有效的措施方案，安排部署生产经营计划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="00CA5AA5">
              <w:rPr>
                <w:rFonts w:hint="eastAsia"/>
                <w:color w:val="000000" w:themeColor="text1"/>
                <w:kern w:val="0"/>
                <w:sz w:val="24"/>
              </w:rPr>
              <w:t>现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公司因防疫需要暂时在线上班。</w:t>
            </w:r>
            <w:r w:rsidR="009A2C26">
              <w:rPr>
                <w:rFonts w:hint="eastAsia"/>
                <w:color w:val="000000" w:themeColor="text1"/>
                <w:kern w:val="0"/>
                <w:sz w:val="24"/>
              </w:rPr>
              <w:t>生产方面，由于公司自</w:t>
            </w:r>
            <w:r w:rsidR="009A2C26">
              <w:rPr>
                <w:rFonts w:hint="eastAsia"/>
                <w:color w:val="000000" w:themeColor="text1"/>
                <w:kern w:val="0"/>
                <w:sz w:val="24"/>
              </w:rPr>
              <w:t>2019</w:t>
            </w:r>
            <w:r w:rsidR="009A2C26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启动杂交水稻一体化运营调整，且水稻种子库存较为充足，</w:t>
            </w:r>
            <w:r w:rsidR="00CF3D70">
              <w:rPr>
                <w:rFonts w:hint="eastAsia"/>
                <w:color w:val="000000" w:themeColor="text1"/>
                <w:kern w:val="0"/>
                <w:sz w:val="24"/>
              </w:rPr>
              <w:t>公司立足于科学制定生产计划、加快存货周转，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2020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年的制种面积显著少于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2019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年，</w:t>
            </w:r>
            <w:r w:rsidR="005F72B4">
              <w:rPr>
                <w:rFonts w:hint="eastAsia"/>
                <w:color w:val="000000" w:themeColor="text1"/>
                <w:kern w:val="0"/>
                <w:sz w:val="24"/>
              </w:rPr>
              <w:t>基地主要集中在海南省且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已经落实，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lastRenderedPageBreak/>
              <w:t>因此疫情对水稻制种不存在显著影响；杂交玉米种子的库存也能够满足业务年度的需求，不存在制种压力，公司将按计划推进种子加工和包装工作。</w:t>
            </w:r>
            <w:r w:rsidR="009A2C26">
              <w:rPr>
                <w:rFonts w:hint="eastAsia"/>
                <w:color w:val="000000" w:themeColor="text1"/>
                <w:kern w:val="0"/>
                <w:sz w:val="24"/>
              </w:rPr>
              <w:t>销售方面，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杂交水稻业务中</w:t>
            </w:r>
            <w:proofErr w:type="gramStart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占比较</w:t>
            </w:r>
            <w:proofErr w:type="gramEnd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大的中稻播种时间主要集中在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4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月下旬至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6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月上旬，且在此期间存在一定的播期弹性；杂交玉米业务中</w:t>
            </w:r>
            <w:proofErr w:type="gramStart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占比较</w:t>
            </w:r>
            <w:proofErr w:type="gramEnd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大的黄淮海区域播种期在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5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月下旬以后，</w:t>
            </w:r>
            <w:r w:rsidR="00CF3D70">
              <w:rPr>
                <w:rFonts w:hint="eastAsia"/>
                <w:color w:val="000000" w:themeColor="text1"/>
                <w:kern w:val="0"/>
                <w:sz w:val="24"/>
              </w:rPr>
              <w:t>在公司稳妥应对的基础上，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当前的疫情对公司的</w:t>
            </w:r>
            <w:r w:rsidR="00F506DF" w:rsidRPr="00F506DF">
              <w:rPr>
                <w:rFonts w:hint="eastAsia"/>
                <w:color w:val="000000" w:themeColor="text1"/>
                <w:kern w:val="0"/>
                <w:sz w:val="24"/>
              </w:rPr>
              <w:t>“两杂”种子业务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生产经营影响较小。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疫情对其他作物的运营也尚未构成显著影响。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公司将在春节前已经启动的铺货、入户工作基础上，</w:t>
            </w:r>
            <w:r w:rsidR="0014683B">
              <w:rPr>
                <w:rFonts w:hint="eastAsia"/>
                <w:color w:val="000000" w:themeColor="text1"/>
                <w:kern w:val="0"/>
                <w:sz w:val="24"/>
              </w:rPr>
              <w:t>制定多种</w:t>
            </w:r>
            <w:r w:rsidR="006B2044">
              <w:rPr>
                <w:rFonts w:hint="eastAsia"/>
                <w:color w:val="000000" w:themeColor="text1"/>
                <w:kern w:val="0"/>
                <w:sz w:val="24"/>
              </w:rPr>
              <w:t>预案，</w:t>
            </w:r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进一步加强网络化营销宣传与订单服务，确保种子供应，为国家粮食安全</w:t>
            </w:r>
            <w:proofErr w:type="gramStart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作出</w:t>
            </w:r>
            <w:proofErr w:type="gramEnd"/>
            <w:r w:rsidR="00B37B29">
              <w:rPr>
                <w:rFonts w:hint="eastAsia"/>
                <w:color w:val="000000" w:themeColor="text1"/>
                <w:kern w:val="0"/>
                <w:sz w:val="24"/>
              </w:rPr>
              <w:t>应有贡献。</w:t>
            </w:r>
          </w:p>
          <w:p w:rsidR="00CF3B7F" w:rsidRDefault="00CF3B7F" w:rsidP="00CF3B7F">
            <w:pPr>
              <w:spacing w:line="440" w:lineRule="exact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二、公司转基因技术及品种储备</w:t>
            </w:r>
          </w:p>
          <w:p w:rsidR="00CF3B7F" w:rsidRPr="001169E3" w:rsidRDefault="00CF3B7F" w:rsidP="00CF3B7F">
            <w:pPr>
              <w:spacing w:line="440" w:lineRule="exac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、</w:t>
            </w:r>
            <w:r w:rsidRPr="004C4798">
              <w:rPr>
                <w:rFonts w:hint="eastAsia"/>
                <w:color w:val="000000"/>
                <w:kern w:val="0"/>
                <w:sz w:val="24"/>
              </w:rPr>
              <w:t>转基因玉米</w:t>
            </w:r>
            <w:r w:rsidRPr="00483A64">
              <w:rPr>
                <w:color w:val="000000"/>
                <w:kern w:val="0"/>
                <w:sz w:val="24"/>
              </w:rPr>
              <w:t>瑞丰</w:t>
            </w:r>
            <w:r w:rsidRPr="00483A64">
              <w:rPr>
                <w:color w:val="000000"/>
                <w:kern w:val="0"/>
                <w:sz w:val="24"/>
              </w:rPr>
              <w:t>125</w:t>
            </w:r>
            <w:r w:rsidRPr="00483A64">
              <w:rPr>
                <w:rFonts w:hint="eastAsia"/>
                <w:color w:val="000000"/>
                <w:kern w:val="0"/>
                <w:sz w:val="24"/>
              </w:rPr>
              <w:t>是国内首批获</w:t>
            </w:r>
            <w:r>
              <w:rPr>
                <w:rFonts w:hint="eastAsia"/>
                <w:color w:val="000000"/>
                <w:kern w:val="0"/>
                <w:sz w:val="24"/>
              </w:rPr>
              <w:t>得转基因抗虫耐除草剂玉米农业转基因生物安全证书的转化事件，该玉米运用了基因</w:t>
            </w:r>
            <w:r w:rsidRPr="00483A64">
              <w:rPr>
                <w:rFonts w:hint="eastAsia"/>
                <w:color w:val="000000"/>
                <w:kern w:val="0"/>
                <w:sz w:val="24"/>
              </w:rPr>
              <w:t>融合</w:t>
            </w:r>
            <w:r>
              <w:rPr>
                <w:rFonts w:hint="eastAsia"/>
                <w:color w:val="000000"/>
                <w:kern w:val="0"/>
                <w:sz w:val="24"/>
              </w:rPr>
              <w:t>技术将两个</w:t>
            </w:r>
            <w:proofErr w:type="spellStart"/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t</w:t>
            </w:r>
            <w:proofErr w:type="spellEnd"/>
            <w:r w:rsidRPr="00483A64">
              <w:rPr>
                <w:rFonts w:hint="eastAsia"/>
                <w:color w:val="000000"/>
                <w:kern w:val="0"/>
                <w:sz w:val="24"/>
              </w:rPr>
              <w:t>抗虫基因</w:t>
            </w:r>
            <w:r>
              <w:rPr>
                <w:rFonts w:hint="eastAsia"/>
                <w:color w:val="000000"/>
                <w:kern w:val="0"/>
                <w:sz w:val="24"/>
              </w:rPr>
              <w:t>整合到一起发挥作用，其</w:t>
            </w:r>
            <w:r w:rsidRPr="00483A64">
              <w:rPr>
                <w:rFonts w:hint="eastAsia"/>
                <w:color w:val="000000"/>
                <w:kern w:val="0"/>
                <w:sz w:val="24"/>
              </w:rPr>
              <w:t>抗除草剂基因是</w:t>
            </w:r>
            <w:r>
              <w:rPr>
                <w:rFonts w:hint="eastAsia"/>
                <w:color w:val="000000"/>
                <w:kern w:val="0"/>
                <w:sz w:val="24"/>
              </w:rPr>
              <w:t>具有</w:t>
            </w:r>
            <w:r w:rsidRPr="00483A64">
              <w:rPr>
                <w:rFonts w:hint="eastAsia"/>
                <w:color w:val="000000"/>
                <w:kern w:val="0"/>
                <w:sz w:val="24"/>
              </w:rPr>
              <w:t>我国自主</w:t>
            </w:r>
            <w:r>
              <w:rPr>
                <w:rFonts w:hint="eastAsia"/>
                <w:color w:val="000000"/>
                <w:kern w:val="0"/>
                <w:sz w:val="24"/>
              </w:rPr>
              <w:t>知识产权</w:t>
            </w:r>
            <w:r w:rsidRPr="00483A64">
              <w:rPr>
                <w:rFonts w:hint="eastAsia"/>
                <w:color w:val="000000"/>
                <w:kern w:val="0"/>
                <w:sz w:val="24"/>
              </w:rPr>
              <w:t>的创新型基因，目前已在中国和美国获得了专利。</w:t>
            </w:r>
          </w:p>
          <w:p w:rsidR="000A783F" w:rsidRDefault="000A783F" w:rsidP="00CF3B7F">
            <w:pPr>
              <w:spacing w:line="440" w:lineRule="exact"/>
              <w:ind w:firstLineChars="200" w:firstLine="480"/>
              <w:rPr>
                <w:color w:val="000000"/>
                <w:kern w:val="0"/>
                <w:sz w:val="24"/>
              </w:rPr>
            </w:pPr>
            <w:r w:rsidRPr="000A783F"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0A783F">
              <w:rPr>
                <w:rFonts w:hint="eastAsia"/>
                <w:color w:val="000000"/>
                <w:kern w:val="0"/>
                <w:sz w:val="24"/>
              </w:rPr>
              <w:t>、公司参股子公司杭州瑞丰生物科技有限公司（以下简称“杭州瑞丰”）是国内专业从事农作物转基因性状研发与产业化应用的优秀企业。近年来在公司及中</w:t>
            </w:r>
            <w:proofErr w:type="gramStart"/>
            <w:r w:rsidRPr="000A783F">
              <w:rPr>
                <w:rFonts w:hint="eastAsia"/>
                <w:color w:val="000000"/>
                <w:kern w:val="0"/>
                <w:sz w:val="24"/>
              </w:rPr>
              <w:t>信农业</w:t>
            </w:r>
            <w:proofErr w:type="gramEnd"/>
            <w:r w:rsidRPr="000A783F">
              <w:rPr>
                <w:rFonts w:hint="eastAsia"/>
                <w:color w:val="000000"/>
                <w:kern w:val="0"/>
                <w:sz w:val="24"/>
              </w:rPr>
              <w:t>的支持下，杭州瑞</w:t>
            </w:r>
            <w:proofErr w:type="gramStart"/>
            <w:r w:rsidRPr="000A783F">
              <w:rPr>
                <w:rFonts w:hint="eastAsia"/>
                <w:color w:val="000000"/>
                <w:kern w:val="0"/>
                <w:sz w:val="24"/>
              </w:rPr>
              <w:t>丰不断</w:t>
            </w:r>
            <w:proofErr w:type="gramEnd"/>
            <w:r w:rsidRPr="000A783F">
              <w:rPr>
                <w:rFonts w:hint="eastAsia"/>
                <w:color w:val="000000"/>
                <w:kern w:val="0"/>
                <w:sz w:val="24"/>
              </w:rPr>
              <w:t>突破创新，积极探索和开拓自主知识产权的基因和性状，抗虫生物技术产品线方面，除了抗玉米螟、棉铃虫、东方黏虫的性状之外，也将推出可对草地贪夜蛾、小地老虎具有高</w:t>
            </w:r>
            <w:proofErr w:type="gramStart"/>
            <w:r w:rsidRPr="000A783F">
              <w:rPr>
                <w:rFonts w:hint="eastAsia"/>
                <w:color w:val="000000"/>
                <w:kern w:val="0"/>
                <w:sz w:val="24"/>
              </w:rPr>
              <w:t>抗水平</w:t>
            </w:r>
            <w:proofErr w:type="gramEnd"/>
            <w:r w:rsidRPr="000A783F">
              <w:rPr>
                <w:rFonts w:hint="eastAsia"/>
                <w:color w:val="000000"/>
                <w:kern w:val="0"/>
                <w:sz w:val="24"/>
              </w:rPr>
              <w:t>的二代转基因玉米事件，目前已按照法规要求在中国推进审批试验，并在巴西完成了验证测试。抗除草剂产品线方面，除了单抗草甘</w:t>
            </w:r>
            <w:proofErr w:type="gramStart"/>
            <w:r w:rsidRPr="000A783F">
              <w:rPr>
                <w:rFonts w:hint="eastAsia"/>
                <w:color w:val="000000"/>
                <w:kern w:val="0"/>
                <w:sz w:val="24"/>
              </w:rPr>
              <w:t>膦</w:t>
            </w:r>
            <w:proofErr w:type="gramEnd"/>
            <w:r w:rsidRPr="000A783F">
              <w:rPr>
                <w:rFonts w:hint="eastAsia"/>
                <w:color w:val="000000"/>
                <w:kern w:val="0"/>
                <w:sz w:val="24"/>
              </w:rPr>
              <w:t>的转化事件外，亦开发出具有多种抗除草剂作用机理的转基因玉米、大豆产品。此外，还有一批抗虫大豆、抗除草剂大豆、抗虫水稻、抗除草剂水稻等性状表现优良的产品，其中一些已按照国家相关要求稳步的推进法规试验。</w:t>
            </w:r>
          </w:p>
          <w:p w:rsidR="00CF3B7F" w:rsidRDefault="00CF3B7F" w:rsidP="00CF3B7F">
            <w:pPr>
              <w:spacing w:line="440" w:lineRule="exact"/>
              <w:ind w:firstLineChars="200" w:firstLine="480"/>
              <w:rPr>
                <w:color w:val="000000"/>
                <w:kern w:val="0"/>
                <w:sz w:val="24"/>
              </w:rPr>
            </w:pPr>
            <w:r w:rsidRPr="001169E3">
              <w:rPr>
                <w:color w:val="000000"/>
                <w:kern w:val="0"/>
                <w:sz w:val="24"/>
              </w:rPr>
              <w:t>3</w:t>
            </w:r>
            <w:r w:rsidRPr="001169E3">
              <w:rPr>
                <w:color w:val="000000"/>
                <w:kern w:val="0"/>
                <w:sz w:val="24"/>
              </w:rPr>
              <w:t>、公司全资子公司隆平生物技术（海南）有限公司</w:t>
            </w: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以下简称“隆平生物”）</w:t>
            </w:r>
            <w:r w:rsidRPr="001169E3">
              <w:rPr>
                <w:color w:val="000000"/>
                <w:kern w:val="0"/>
                <w:sz w:val="24"/>
              </w:rPr>
              <w:t>打造了一支优秀转基因性状开发团队，现已开发出抗性表现优良的转基因</w:t>
            </w:r>
            <w:r>
              <w:rPr>
                <w:rFonts w:hint="eastAsia"/>
                <w:color w:val="000000"/>
                <w:kern w:val="0"/>
                <w:sz w:val="24"/>
              </w:rPr>
              <w:t>产品</w:t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并已按照国家相关法规开展了田间试验，</w:t>
            </w:r>
            <w:r w:rsidRPr="001169E3">
              <w:rPr>
                <w:color w:val="000000"/>
                <w:kern w:val="0"/>
                <w:sz w:val="24"/>
              </w:rPr>
              <w:t>该公司与</w:t>
            </w:r>
            <w:r w:rsidRPr="00173959">
              <w:rPr>
                <w:rFonts w:hint="eastAsia"/>
                <w:color w:val="000000"/>
                <w:kern w:val="0"/>
                <w:sz w:val="24"/>
              </w:rPr>
              <w:t>杭州瑞丰</w:t>
            </w:r>
            <w:r w:rsidRPr="001169E3">
              <w:rPr>
                <w:color w:val="000000"/>
                <w:kern w:val="0"/>
                <w:sz w:val="24"/>
              </w:rPr>
              <w:t>作为公司转基因技术</w:t>
            </w:r>
            <w:r>
              <w:rPr>
                <w:rFonts w:hint="eastAsia"/>
                <w:color w:val="000000"/>
                <w:kern w:val="0"/>
                <w:sz w:val="24"/>
              </w:rPr>
              <w:t>“</w:t>
            </w:r>
            <w:r w:rsidRPr="001169E3">
              <w:rPr>
                <w:color w:val="000000"/>
                <w:kern w:val="0"/>
                <w:sz w:val="24"/>
              </w:rPr>
              <w:t>双驾马车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  <w:r w:rsidRPr="001169E3">
              <w:rPr>
                <w:color w:val="000000"/>
                <w:kern w:val="0"/>
                <w:sz w:val="24"/>
              </w:rPr>
              <w:t>。</w:t>
            </w:r>
          </w:p>
          <w:p w:rsidR="00CF3B7F" w:rsidRDefault="00CF3B7F" w:rsidP="00CF3B7F">
            <w:pPr>
              <w:spacing w:line="440" w:lineRule="exact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三、转基因</w:t>
            </w:r>
            <w:r w:rsidR="006A2808">
              <w:rPr>
                <w:rFonts w:hint="eastAsia"/>
                <w:color w:val="000000" w:themeColor="text1"/>
                <w:kern w:val="0"/>
                <w:sz w:val="24"/>
              </w:rPr>
              <w:t>研发的全球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布局及协同效应</w:t>
            </w:r>
          </w:p>
          <w:p w:rsidR="00E75CA7" w:rsidRPr="008F7000" w:rsidRDefault="00CF3B7F" w:rsidP="00CF3B7F">
            <w:pPr>
              <w:spacing w:line="440" w:lineRule="exact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隆平高科生物技术在</w:t>
            </w:r>
            <w:r w:rsidR="00A2033D">
              <w:rPr>
                <w:rFonts w:hint="eastAsia"/>
                <w:color w:val="000000"/>
                <w:kern w:val="0"/>
                <w:sz w:val="24"/>
              </w:rPr>
              <w:t>“</w:t>
            </w:r>
            <w:r w:rsidR="00A2033D" w:rsidRPr="001169E3">
              <w:rPr>
                <w:color w:val="000000"/>
                <w:kern w:val="0"/>
                <w:sz w:val="24"/>
              </w:rPr>
              <w:t>双驾马车</w:t>
            </w:r>
            <w:r w:rsidR="00A2033D">
              <w:rPr>
                <w:rFonts w:hint="eastAsia"/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驱动下，不断拓宽产品线储备。此外，巴西本身是转基因的开放市场，巴西隆平拥有一支优秀的转基因玉米研发测试和开发团队，已在当地开展多年的转基因玉米研发育种工作，未来，杭州瑞丰、隆平生物的性状研发成果也将应用于巴西隆平转基因玉米种子业务。其中杭州瑞丰的部分性状已经与巴西隆平对接，正在开展品种回交、测试，未来有望实现对外资企业的技术破壁，进一步释放协同效应。</w:t>
            </w:r>
          </w:p>
        </w:tc>
      </w:tr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E75CA7" w:rsidTr="000E466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A7" w:rsidRDefault="00236FA3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7" w:rsidRDefault="00236FA3" w:rsidP="00B06A18">
            <w:pPr>
              <w:spacing w:line="40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B06A18">
              <w:rPr>
                <w:rFonts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06A18">
              <w:rPr>
                <w:rFonts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E75CA7" w:rsidRDefault="00E75CA7"/>
    <w:sectPr w:rsidR="00E7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B0" w:rsidRDefault="00185DB0" w:rsidP="00AA6993">
      <w:r>
        <w:separator/>
      </w:r>
    </w:p>
  </w:endnote>
  <w:endnote w:type="continuationSeparator" w:id="0">
    <w:p w:rsidR="00185DB0" w:rsidRDefault="00185DB0" w:rsidP="00AA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B0" w:rsidRDefault="00185DB0" w:rsidP="00AA6993">
      <w:r>
        <w:separator/>
      </w:r>
    </w:p>
  </w:footnote>
  <w:footnote w:type="continuationSeparator" w:id="0">
    <w:p w:rsidR="00185DB0" w:rsidRDefault="00185DB0" w:rsidP="00AA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75DC4"/>
    <w:rsid w:val="000252BE"/>
    <w:rsid w:val="00090BDE"/>
    <w:rsid w:val="000A783F"/>
    <w:rsid w:val="000C12FD"/>
    <w:rsid w:val="000E466E"/>
    <w:rsid w:val="000E7C1B"/>
    <w:rsid w:val="00105F34"/>
    <w:rsid w:val="001421F9"/>
    <w:rsid w:val="0014683B"/>
    <w:rsid w:val="0015336F"/>
    <w:rsid w:val="00173959"/>
    <w:rsid w:val="00182C21"/>
    <w:rsid w:val="00185DB0"/>
    <w:rsid w:val="00191876"/>
    <w:rsid w:val="001A4ABE"/>
    <w:rsid w:val="001F07E3"/>
    <w:rsid w:val="00236FA3"/>
    <w:rsid w:val="002747E0"/>
    <w:rsid w:val="00290BEC"/>
    <w:rsid w:val="00293E61"/>
    <w:rsid w:val="002B249A"/>
    <w:rsid w:val="002E1C8F"/>
    <w:rsid w:val="0035382E"/>
    <w:rsid w:val="00361B67"/>
    <w:rsid w:val="003668E6"/>
    <w:rsid w:val="003B76BA"/>
    <w:rsid w:val="003D3A84"/>
    <w:rsid w:val="003F05CF"/>
    <w:rsid w:val="00415F68"/>
    <w:rsid w:val="00416A18"/>
    <w:rsid w:val="004A7A41"/>
    <w:rsid w:val="00500162"/>
    <w:rsid w:val="00560690"/>
    <w:rsid w:val="005F72B4"/>
    <w:rsid w:val="00616C68"/>
    <w:rsid w:val="0062455D"/>
    <w:rsid w:val="0066338F"/>
    <w:rsid w:val="00667441"/>
    <w:rsid w:val="00685420"/>
    <w:rsid w:val="00685BCD"/>
    <w:rsid w:val="00690CD8"/>
    <w:rsid w:val="006A2808"/>
    <w:rsid w:val="006B2044"/>
    <w:rsid w:val="006D22BE"/>
    <w:rsid w:val="00716217"/>
    <w:rsid w:val="00797774"/>
    <w:rsid w:val="007B155B"/>
    <w:rsid w:val="00805126"/>
    <w:rsid w:val="00841712"/>
    <w:rsid w:val="0085022B"/>
    <w:rsid w:val="008A5218"/>
    <w:rsid w:val="008C12D8"/>
    <w:rsid w:val="008F300A"/>
    <w:rsid w:val="008F7000"/>
    <w:rsid w:val="00905289"/>
    <w:rsid w:val="0093402C"/>
    <w:rsid w:val="00944053"/>
    <w:rsid w:val="009A2C26"/>
    <w:rsid w:val="009E0D12"/>
    <w:rsid w:val="009E683F"/>
    <w:rsid w:val="00A2033D"/>
    <w:rsid w:val="00A22A2A"/>
    <w:rsid w:val="00A33486"/>
    <w:rsid w:val="00A701E8"/>
    <w:rsid w:val="00AA6993"/>
    <w:rsid w:val="00AB1C58"/>
    <w:rsid w:val="00AC18A3"/>
    <w:rsid w:val="00AD11D0"/>
    <w:rsid w:val="00AF0708"/>
    <w:rsid w:val="00B06A18"/>
    <w:rsid w:val="00B07667"/>
    <w:rsid w:val="00B14645"/>
    <w:rsid w:val="00B37B29"/>
    <w:rsid w:val="00B55DB3"/>
    <w:rsid w:val="00BC39C8"/>
    <w:rsid w:val="00BF294E"/>
    <w:rsid w:val="00C3324F"/>
    <w:rsid w:val="00C70083"/>
    <w:rsid w:val="00CA5AA5"/>
    <w:rsid w:val="00CF16E5"/>
    <w:rsid w:val="00CF3B7F"/>
    <w:rsid w:val="00CF3D70"/>
    <w:rsid w:val="00D345B8"/>
    <w:rsid w:val="00D76A6C"/>
    <w:rsid w:val="00E52453"/>
    <w:rsid w:val="00E541EE"/>
    <w:rsid w:val="00E75CA7"/>
    <w:rsid w:val="00E82890"/>
    <w:rsid w:val="00EA22E5"/>
    <w:rsid w:val="00EE5792"/>
    <w:rsid w:val="00F27931"/>
    <w:rsid w:val="00F506DF"/>
    <w:rsid w:val="00FC7559"/>
    <w:rsid w:val="043E14FD"/>
    <w:rsid w:val="079B4EF4"/>
    <w:rsid w:val="0A2610FB"/>
    <w:rsid w:val="0D86361B"/>
    <w:rsid w:val="1D240882"/>
    <w:rsid w:val="2809729B"/>
    <w:rsid w:val="4E165C9D"/>
    <w:rsid w:val="5B4C701C"/>
    <w:rsid w:val="5B5B650A"/>
    <w:rsid w:val="68C66967"/>
    <w:rsid w:val="721D61D4"/>
    <w:rsid w:val="7F0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罗明燕</cp:lastModifiedBy>
  <cp:revision>11</cp:revision>
  <cp:lastPrinted>2020-01-03T07:03:00Z</cp:lastPrinted>
  <dcterms:created xsi:type="dcterms:W3CDTF">2020-02-05T11:08:00Z</dcterms:created>
  <dcterms:modified xsi:type="dcterms:W3CDTF">2020-02-05T11:53:00Z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