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400" w:lineRule="exact"/>
        <w:rPr>
          <w:bCs/>
          <w:iCs/>
          <w:sz w:val="24"/>
        </w:rPr>
      </w:pPr>
      <w:r>
        <w:rPr>
          <w:bCs/>
          <w:iCs/>
          <w:sz w:val="24"/>
        </w:rPr>
        <w:t>证券代码：</w:t>
      </w:r>
      <w:r>
        <w:rPr>
          <w:rFonts w:hint="eastAsia"/>
          <w:bCs/>
          <w:iCs/>
          <w:sz w:val="24"/>
        </w:rPr>
        <w:t>300031</w:t>
      </w:r>
      <w:r>
        <w:rPr>
          <w:bCs/>
          <w:iCs/>
          <w:sz w:val="24"/>
        </w:rPr>
        <w:t xml:space="preserve">                                    证券简称：</w:t>
      </w:r>
      <w:r>
        <w:rPr>
          <w:rFonts w:hint="eastAsia"/>
          <w:bCs/>
          <w:iCs/>
          <w:sz w:val="24"/>
        </w:rPr>
        <w:t>宝通科技</w:t>
      </w:r>
    </w:p>
    <w:p>
      <w:pPr>
        <w:spacing w:beforeLines="50" w:afterLines="50" w:line="360" w:lineRule="auto"/>
        <w:jc w:val="center"/>
        <w:outlineLvl w:val="0"/>
        <w:rPr>
          <w:b/>
          <w:bCs/>
          <w:iCs/>
          <w:sz w:val="32"/>
          <w:szCs w:val="32"/>
        </w:rPr>
      </w:pPr>
      <w:r>
        <w:rPr>
          <w:rFonts w:hint="eastAsia"/>
          <w:b/>
          <w:bCs/>
          <w:iCs/>
          <w:sz w:val="32"/>
          <w:szCs w:val="32"/>
        </w:rPr>
        <w:t>无锡宝通科技</w:t>
      </w:r>
      <w:r>
        <w:rPr>
          <w:b/>
          <w:bCs/>
          <w:iCs/>
          <w:sz w:val="32"/>
          <w:szCs w:val="32"/>
        </w:rPr>
        <w:t>股份有限公司投资者关系活动记录表</w:t>
      </w:r>
    </w:p>
    <w:p>
      <w:pPr>
        <w:spacing w:beforeLines="50" w:afterLines="50" w:line="360" w:lineRule="auto"/>
        <w:rPr>
          <w:rFonts w:hint="eastAsia" w:eastAsia="宋体"/>
          <w:bCs/>
          <w:iCs/>
          <w:sz w:val="24"/>
          <w:lang w:eastAsia="zh-CN"/>
        </w:rPr>
      </w:pPr>
      <w:r>
        <w:rPr>
          <w:bCs/>
          <w:iCs/>
          <w:sz w:val="24"/>
        </w:rPr>
        <w:t xml:space="preserve">                                                     编号</w:t>
      </w:r>
      <w:r>
        <w:rPr>
          <w:rFonts w:hint="eastAsia"/>
          <w:bCs/>
          <w:iCs/>
          <w:sz w:val="24"/>
        </w:rPr>
        <w:t>：20200</w:t>
      </w:r>
      <w:r>
        <w:rPr>
          <w:rFonts w:hint="eastAsia"/>
          <w:bCs/>
          <w:iCs/>
          <w:sz w:val="24"/>
          <w:lang w:val="en-US" w:eastAsia="zh-CN"/>
        </w:rPr>
        <w:t>2</w:t>
      </w:r>
      <w:r>
        <w:rPr>
          <w:rFonts w:hint="eastAsia"/>
          <w:bCs/>
          <w:iCs/>
          <w:sz w:val="24"/>
        </w:rPr>
        <w:t>1</w:t>
      </w:r>
      <w:r>
        <w:rPr>
          <w:rFonts w:hint="eastAsia"/>
          <w:bCs/>
          <w:iCs/>
          <w:sz w:val="24"/>
          <w:lang w:val="en-US" w:eastAsia="zh-CN"/>
        </w:rPr>
        <w:t>2</w:t>
      </w:r>
    </w:p>
    <w:tbl>
      <w:tblPr>
        <w:tblStyle w:val="4"/>
        <w:tblW w:w="0" w:type="auto"/>
        <w:tblInd w:w="-1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iCs/>
                <w:sz w:val="24"/>
              </w:rPr>
            </w:pPr>
            <w:r>
              <w:rPr>
                <w:bCs/>
                <w:iCs/>
                <w:sz w:val="24"/>
              </w:rPr>
              <w:t>投资者关系活动类别</w:t>
            </w:r>
          </w:p>
          <w:p>
            <w:pPr>
              <w:spacing w:line="360" w:lineRule="auto"/>
              <w:rPr>
                <w:bCs/>
                <w:iCs/>
                <w:sz w:val="24"/>
              </w:rPr>
            </w:pPr>
          </w:p>
        </w:tc>
        <w:tc>
          <w:tcPr>
            <w:tcW w:w="7740" w:type="dxa"/>
            <w:tcBorders>
              <w:top w:val="single" w:color="auto" w:sz="4" w:space="0"/>
              <w:left w:val="single" w:color="auto" w:sz="4" w:space="0"/>
              <w:bottom w:val="single" w:color="auto" w:sz="4" w:space="0"/>
              <w:right w:val="single" w:color="auto" w:sz="4" w:space="0"/>
            </w:tcBorders>
          </w:tcPr>
          <w:p>
            <w:pPr>
              <w:spacing w:line="360" w:lineRule="auto"/>
              <w:rPr>
                <w:bCs/>
                <w:iCs/>
                <w:sz w:val="24"/>
              </w:rPr>
            </w:pPr>
            <w:r>
              <w:rPr>
                <w:bCs/>
                <w:iCs/>
                <w:sz w:val="24"/>
              </w:rPr>
              <w:t>□</w:t>
            </w:r>
            <w:r>
              <w:rPr>
                <w:sz w:val="24"/>
              </w:rPr>
              <w:t xml:space="preserve">特定对象调研      </w:t>
            </w:r>
            <w:r>
              <w:rPr>
                <w:rFonts w:hint="eastAsia"/>
                <w:sz w:val="24"/>
                <w:lang w:val="en-US" w:eastAsia="zh-CN"/>
              </w:rPr>
              <w:t xml:space="preserve"> </w:t>
            </w:r>
            <w:r>
              <w:rPr>
                <w:sz w:val="24"/>
              </w:rPr>
              <w:t xml:space="preserve"> </w:t>
            </w:r>
            <w:r>
              <w:rPr>
                <w:bCs/>
                <w:iCs/>
                <w:sz w:val="24"/>
              </w:rPr>
              <w:t>□</w:t>
            </w:r>
            <w:r>
              <w:rPr>
                <w:sz w:val="24"/>
              </w:rPr>
              <w:t>分析师会议</w:t>
            </w:r>
          </w:p>
          <w:p>
            <w:pPr>
              <w:spacing w:line="360" w:lineRule="auto"/>
              <w:rPr>
                <w:bCs/>
                <w:iCs/>
                <w:sz w:val="24"/>
              </w:rPr>
            </w:pPr>
            <w:r>
              <w:rPr>
                <w:bCs/>
                <w:iCs/>
                <w:sz w:val="24"/>
              </w:rPr>
              <w:t>□</w:t>
            </w:r>
            <w:r>
              <w:rPr>
                <w:sz w:val="24"/>
              </w:rPr>
              <w:t xml:space="preserve">媒体采访            </w:t>
            </w:r>
            <w:r>
              <w:rPr>
                <w:bCs/>
                <w:iCs/>
                <w:sz w:val="24"/>
              </w:rPr>
              <w:t>□</w:t>
            </w:r>
            <w:r>
              <w:rPr>
                <w:sz w:val="24"/>
              </w:rPr>
              <w:t>业绩说明会</w:t>
            </w:r>
          </w:p>
          <w:p>
            <w:pPr>
              <w:spacing w:line="360" w:lineRule="auto"/>
              <w:rPr>
                <w:bCs/>
                <w:iCs/>
                <w:sz w:val="24"/>
              </w:rPr>
            </w:pPr>
            <w:r>
              <w:rPr>
                <w:bCs/>
                <w:iCs/>
                <w:sz w:val="24"/>
              </w:rPr>
              <w:t>□</w:t>
            </w:r>
            <w:r>
              <w:rPr>
                <w:sz w:val="24"/>
              </w:rPr>
              <w:t xml:space="preserve">新闻发布会          </w:t>
            </w:r>
            <w:r>
              <w:rPr>
                <w:bCs/>
                <w:iCs/>
                <w:sz w:val="24"/>
              </w:rPr>
              <w:t>□</w:t>
            </w:r>
            <w:r>
              <w:rPr>
                <w:sz w:val="24"/>
              </w:rPr>
              <w:t>路演活动</w:t>
            </w:r>
          </w:p>
          <w:p>
            <w:pPr>
              <w:tabs>
                <w:tab w:val="left" w:pos="3045"/>
                <w:tab w:val="center" w:pos="3199"/>
              </w:tabs>
              <w:spacing w:line="360" w:lineRule="auto"/>
              <w:rPr>
                <w:bCs/>
                <w:iCs/>
                <w:sz w:val="24"/>
              </w:rPr>
            </w:pPr>
            <w:r>
              <w:rPr>
                <w:bCs/>
                <w:iCs/>
                <w:sz w:val="24"/>
              </w:rPr>
              <w:t>□</w:t>
            </w:r>
            <w:r>
              <w:rPr>
                <w:sz w:val="24"/>
              </w:rPr>
              <w:t>现场参观</w:t>
            </w:r>
            <w:r>
              <w:rPr>
                <w:rFonts w:hint="eastAsia"/>
                <w:sz w:val="24"/>
                <w:lang w:val="en-US" w:eastAsia="zh-CN"/>
              </w:rPr>
              <w:t xml:space="preserve">            </w:t>
            </w:r>
            <w:r>
              <w:rPr>
                <w:bCs/>
                <w:iCs/>
                <w:sz w:val="24"/>
              </w:rPr>
              <w:t>□</w:t>
            </w:r>
            <w:r>
              <w:rPr>
                <w:rFonts w:hAnsi="宋体"/>
                <w:sz w:val="24"/>
              </w:rPr>
              <w:t>投资者接待日活动</w:t>
            </w:r>
            <w:r>
              <w:rPr>
                <w:bCs/>
                <w:iCs/>
                <w:sz w:val="24"/>
              </w:rPr>
              <w:tab/>
            </w:r>
          </w:p>
          <w:p>
            <w:pPr>
              <w:tabs>
                <w:tab w:val="left" w:pos="3045"/>
                <w:tab w:val="center" w:pos="3199"/>
              </w:tabs>
              <w:spacing w:line="360" w:lineRule="auto"/>
              <w:rPr>
                <w:rFonts w:hint="eastAsia" w:eastAsia="宋体"/>
                <w:bCs/>
                <w:iCs/>
                <w:sz w:val="24"/>
                <w:lang w:val="en-US" w:eastAsia="zh-CN"/>
              </w:rPr>
            </w:pPr>
            <w:r>
              <w:rPr>
                <w:bCs/>
                <w:iCs/>
                <w:sz w:val="24"/>
              </w:rPr>
              <w:sym w:font="Wingdings 2" w:char="0052"/>
            </w:r>
            <w:r>
              <w:rPr>
                <w:rFonts w:hint="eastAsia"/>
                <w:bCs/>
                <w:iCs/>
                <w:sz w:val="24"/>
                <w:lang w:val="en-US" w:eastAsia="zh-CN"/>
              </w:rPr>
              <w:t>其他（线上会议）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iCs/>
                <w:sz w:val="24"/>
              </w:rPr>
            </w:pPr>
            <w:r>
              <w:rPr>
                <w:bCs/>
                <w:iCs/>
                <w:sz w:val="24"/>
              </w:rPr>
              <w:t>参与单位名称及人员姓名</w:t>
            </w:r>
          </w:p>
        </w:tc>
        <w:tc>
          <w:tcPr>
            <w:tcW w:w="7740" w:type="dxa"/>
            <w:tcBorders>
              <w:top w:val="single" w:color="auto" w:sz="4" w:space="0"/>
              <w:left w:val="single" w:color="auto" w:sz="4" w:space="0"/>
              <w:bottom w:val="single" w:color="auto" w:sz="4" w:space="0"/>
              <w:right w:val="single" w:color="auto" w:sz="4" w:space="0"/>
            </w:tcBorders>
          </w:tcPr>
          <w:p>
            <w:pPr>
              <w:spacing w:line="360" w:lineRule="auto"/>
              <w:rPr>
                <w:rFonts w:hint="default" w:eastAsia="宋体"/>
                <w:bCs/>
                <w:iCs/>
                <w:sz w:val="24"/>
                <w:lang w:val="en-US" w:eastAsia="zh-CN"/>
              </w:rPr>
            </w:pPr>
            <w:r>
              <w:rPr>
                <w:rFonts w:hint="eastAsia"/>
                <w:bCs/>
                <w:iCs/>
                <w:sz w:val="24"/>
              </w:rPr>
              <w:t>长城证券</w:t>
            </w:r>
            <w:r>
              <w:rPr>
                <w:rFonts w:hint="eastAsia"/>
                <w:bCs/>
                <w:iCs/>
                <w:sz w:val="24"/>
                <w:lang w:val="en-US" w:eastAsia="zh-CN"/>
              </w:rPr>
              <w:t xml:space="preserve"> </w:t>
            </w:r>
            <w:r>
              <w:rPr>
                <w:rFonts w:hint="eastAsia"/>
                <w:bCs/>
                <w:iCs/>
                <w:sz w:val="24"/>
              </w:rPr>
              <w:t>杨晓峰等</w:t>
            </w:r>
            <w:r>
              <w:rPr>
                <w:rFonts w:hint="eastAsia"/>
                <w:bCs/>
                <w:iCs/>
                <w:sz w:val="24"/>
                <w:lang w:val="en-US" w:eastAsia="zh-CN"/>
              </w:rPr>
              <w:t>58人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iCs/>
                <w:sz w:val="24"/>
              </w:rPr>
            </w:pPr>
            <w:r>
              <w:rPr>
                <w:bCs/>
                <w:iCs/>
                <w:sz w:val="24"/>
              </w:rPr>
              <w:t>时间</w:t>
            </w:r>
          </w:p>
        </w:tc>
        <w:tc>
          <w:tcPr>
            <w:tcW w:w="7740" w:type="dxa"/>
            <w:tcBorders>
              <w:top w:val="single" w:color="auto" w:sz="4" w:space="0"/>
              <w:left w:val="single" w:color="auto" w:sz="4" w:space="0"/>
              <w:bottom w:val="single" w:color="auto" w:sz="4" w:space="0"/>
              <w:right w:val="single" w:color="auto" w:sz="4" w:space="0"/>
            </w:tcBorders>
          </w:tcPr>
          <w:p>
            <w:pPr>
              <w:spacing w:line="360" w:lineRule="auto"/>
              <w:rPr>
                <w:bCs/>
                <w:iCs/>
                <w:sz w:val="24"/>
              </w:rPr>
            </w:pPr>
            <w:r>
              <w:rPr>
                <w:rFonts w:hint="eastAsia"/>
                <w:bCs/>
                <w:iCs/>
                <w:sz w:val="24"/>
              </w:rPr>
              <w:t>2020年0</w:t>
            </w:r>
            <w:r>
              <w:rPr>
                <w:rFonts w:hint="eastAsia"/>
                <w:bCs/>
                <w:iCs/>
                <w:sz w:val="24"/>
                <w:lang w:val="en-US" w:eastAsia="zh-CN"/>
              </w:rPr>
              <w:t>2</w:t>
            </w:r>
            <w:r>
              <w:rPr>
                <w:rFonts w:hint="eastAsia"/>
                <w:bCs/>
                <w:iCs/>
                <w:sz w:val="24"/>
              </w:rPr>
              <w:t>月1</w:t>
            </w:r>
            <w:r>
              <w:rPr>
                <w:rFonts w:hint="eastAsia"/>
                <w:bCs/>
                <w:iCs/>
                <w:sz w:val="24"/>
                <w:lang w:val="en-US" w:eastAsia="zh-CN"/>
              </w:rPr>
              <w:t>1</w:t>
            </w:r>
            <w:r>
              <w:rPr>
                <w:rFonts w:hint="eastAsia"/>
                <w:bCs/>
                <w:iCs/>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iCs/>
                <w:sz w:val="24"/>
              </w:rPr>
            </w:pPr>
            <w:r>
              <w:rPr>
                <w:bCs/>
                <w:iCs/>
                <w:sz w:val="24"/>
              </w:rPr>
              <w:t>地点</w:t>
            </w:r>
          </w:p>
        </w:tc>
        <w:tc>
          <w:tcPr>
            <w:tcW w:w="7740" w:type="dxa"/>
            <w:tcBorders>
              <w:top w:val="single" w:color="auto" w:sz="4" w:space="0"/>
              <w:left w:val="single" w:color="auto" w:sz="4" w:space="0"/>
              <w:bottom w:val="single" w:color="auto" w:sz="4" w:space="0"/>
              <w:right w:val="single" w:color="auto" w:sz="4" w:space="0"/>
            </w:tcBorders>
          </w:tcPr>
          <w:p>
            <w:pPr>
              <w:spacing w:line="360" w:lineRule="auto"/>
              <w:rPr>
                <w:bCs/>
                <w:iCs/>
                <w:sz w:val="24"/>
              </w:rPr>
            </w:pPr>
            <w:r>
              <w:rPr>
                <w:rFonts w:hint="eastAsia"/>
                <w:bCs/>
                <w:iCs/>
                <w:sz w:val="24"/>
              </w:rPr>
              <w:t>无锡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tcBorders>
              <w:top w:val="single" w:color="auto" w:sz="4" w:space="0"/>
              <w:left w:val="single" w:color="auto" w:sz="4" w:space="0"/>
              <w:bottom w:val="single" w:color="auto" w:sz="4" w:space="0"/>
              <w:right w:val="single" w:color="auto" w:sz="4" w:space="0"/>
            </w:tcBorders>
            <w:vAlign w:val="center"/>
          </w:tcPr>
          <w:p>
            <w:pPr>
              <w:spacing w:line="480" w:lineRule="atLeast"/>
              <w:jc w:val="center"/>
              <w:rPr>
                <w:bCs/>
                <w:iCs/>
                <w:sz w:val="24"/>
              </w:rPr>
            </w:pPr>
            <w:r>
              <w:rPr>
                <w:bCs/>
                <w:iCs/>
                <w:sz w:val="24"/>
              </w:rPr>
              <w:t>上市公司接待人员姓名</w:t>
            </w:r>
          </w:p>
        </w:tc>
        <w:tc>
          <w:tcPr>
            <w:tcW w:w="7740" w:type="dxa"/>
            <w:tcBorders>
              <w:top w:val="single" w:color="auto" w:sz="4" w:space="0"/>
              <w:left w:val="single" w:color="auto" w:sz="4" w:space="0"/>
              <w:bottom w:val="single" w:color="auto" w:sz="4" w:space="0"/>
              <w:right w:val="single" w:color="auto" w:sz="4" w:space="0"/>
            </w:tcBorders>
          </w:tcPr>
          <w:p>
            <w:pPr>
              <w:spacing w:line="360" w:lineRule="auto"/>
              <w:rPr>
                <w:bCs/>
                <w:iCs/>
                <w:sz w:val="24"/>
              </w:rPr>
            </w:pPr>
            <w:r>
              <w:rPr>
                <w:rFonts w:hint="eastAsia"/>
                <w:bCs/>
                <w:iCs/>
                <w:sz w:val="24"/>
              </w:rPr>
              <w:t>副总经理兼董事会秘书张利乾、</w:t>
            </w:r>
            <w:r>
              <w:rPr>
                <w:rFonts w:hint="eastAsia"/>
                <w:bCs/>
                <w:iCs/>
                <w:sz w:val="24"/>
                <w:lang w:val="en-US" w:eastAsia="zh-CN"/>
              </w:rPr>
              <w:t>易幻网络 CEO 王洋、哈视奇 CEO沈浩然、证券部部长</w:t>
            </w:r>
            <w:r>
              <w:rPr>
                <w:rFonts w:hint="eastAsia"/>
                <w:bCs/>
                <w:iCs/>
                <w:sz w:val="24"/>
              </w:rPr>
              <w:t>仰凯锋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3060" w:type="dxa"/>
            <w:tcBorders>
              <w:top w:val="single" w:color="auto" w:sz="4" w:space="0"/>
              <w:left w:val="single" w:color="auto" w:sz="4" w:space="0"/>
              <w:bottom w:val="single" w:color="auto" w:sz="4" w:space="0"/>
              <w:right w:val="single" w:color="auto" w:sz="4" w:space="0"/>
            </w:tcBorders>
            <w:vAlign w:val="center"/>
          </w:tcPr>
          <w:p>
            <w:pPr>
              <w:spacing w:line="480" w:lineRule="atLeast"/>
              <w:rPr>
                <w:bCs/>
                <w:iCs/>
                <w:sz w:val="24"/>
              </w:rPr>
            </w:pPr>
            <w:r>
              <w:rPr>
                <w:bCs/>
                <w:iCs/>
                <w:sz w:val="24"/>
              </w:rPr>
              <w:t>投资者关系活动主要内容介绍</w:t>
            </w:r>
          </w:p>
          <w:p>
            <w:pPr>
              <w:spacing w:line="480" w:lineRule="atLeast"/>
              <w:rPr>
                <w:bCs/>
                <w:iCs/>
                <w:sz w:val="24"/>
              </w:rPr>
            </w:pPr>
          </w:p>
        </w:tc>
        <w:tc>
          <w:tcPr>
            <w:tcW w:w="774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sz w:val="21"/>
                <w:szCs w:val="21"/>
              </w:rPr>
            </w:pPr>
            <w:r>
              <w:rPr>
                <w:rFonts w:hint="eastAsia"/>
                <w:b/>
                <w:bCs/>
                <w:sz w:val="21"/>
                <w:szCs w:val="21"/>
              </w:rPr>
              <w:t>一、介绍部分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sz w:val="21"/>
                <w:szCs w:val="21"/>
              </w:rPr>
            </w:pPr>
            <w:r>
              <w:rPr>
                <w:rFonts w:hint="eastAsia"/>
                <w:b/>
                <w:bCs/>
                <w:sz w:val="21"/>
                <w:szCs w:val="21"/>
              </w:rPr>
              <w:t>1、宝通科技介绍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业务和团队：2018年对开始上市公司在业务规划、组织架构调整、企业文化和团队激励上花了大量的精力。由原来的单一区域化发行升级为区域化发行和全球研运一体双驱动；市场从港澳台、东南亚和韩国向日本、欧美大市场进行突破；逐步通过内部自建研发团队和外部投资团队补齐内容获取，保障我们产品的多元化；目前整个游戏业务板块管理团队都是从易幻网络原有管理团队衍生出来的，包括易幻网络现任CEO王总，也是14、15年早期创业的骨干员工之一，海南高图的CEO是我们易幻网络的联合创始人。多方面的工作让我们2019年的经营业绩持续保持增长并且在新市场有了一个突破的态势。2020年制定了3-5年规划，主要从市场进行突破，从原来的二级市场向一级市场突破（即全球前三大游戏市场中国、日本、欧美）；自有内容、自有产品的贡献开始快速提升，研运一体构建逐渐成熟。上市公司针对游戏公司的特殊性以人为主，实施激励计划，员工持股计划会尽快落地。2020年我个人非常有信心、管理团队非常有信心在原有2019年经营状况之下继续持续保持比较高的稳定增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sz w:val="21"/>
                <w:szCs w:val="21"/>
                <w:lang w:eastAsia="zh-CN"/>
              </w:rPr>
            </w:pPr>
            <w:r>
              <w:rPr>
                <w:rFonts w:hint="eastAsia"/>
                <w:sz w:val="21"/>
                <w:szCs w:val="21"/>
              </w:rPr>
              <w:t>与哈视奇合作：宝通科技除了对内容的重视之外，对于新技术也是极其关注；所以在2016年我们就提前对VR领域进行布局，与哈视奇在2016年就进行股权合作；哈视奇也是一家非常优秀的公司，在当时市场排名前10。市场经过2、3年市场低谷，它活下来且活的不错。经过它的产品的多样化和某些领域的深耕，相信产品技术能力和产品输出能力与2016年相比又有实质性变化。随着 5G 时代的到来，5G 应用力度加大，“5G+云”将赋能 VR/AR 产业，驱动虚拟现实（VR）、增强现实（AR）技术发展进入快车道，将在 VR/AR 游戏、VR 直播、VR互动式电影、远程协作、虚拟仿真教学等多领域为产业开拓提供发展路径，并为传统工业产业释放新兴活力。所以这次合作既是对先进技术的再次探索升级，也是资源优势互补，具备实操性和落地能力的举措</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sz w:val="21"/>
                <w:szCs w:val="21"/>
              </w:rPr>
            </w:pPr>
            <w:r>
              <w:rPr>
                <w:rFonts w:hint="eastAsia"/>
                <w:b/>
                <w:bCs/>
                <w:sz w:val="21"/>
                <w:szCs w:val="21"/>
              </w:rPr>
              <w:t>2、哈视奇公司介绍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哈视奇成立于2015年，是国内顶尖AR/VR内容和解决方案供应商，在游戏方面已经开发包括《奇幻滑雪》一代二代、《危城余生》、《罗布泊丧尸》等一系列产品。其中代表作是《奇幻滑雪》。《奇幻滑雪》一代在Viveport上获得过付费榜第一名，在Steam上也获得过首页推荐和热销榜单第一名，是全球知名的VR游戏，同时也是国内覆盖面最广、玩家最多的VR游戏之一，所以这款游戏可以说是深受全世界玩家的欢迎。在商业应用方面，哈视奇与联合立华、宝洁、华为、奔驰等一线的品牌公司进行了深度合作，借助AR/VR技术为用户和客户带来全新的沉浸式产品体验。</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sz w:val="21"/>
                <w:szCs w:val="21"/>
                <w:lang w:val="en-US" w:eastAsia="zh-CN"/>
              </w:rPr>
            </w:pPr>
            <w:r>
              <w:rPr>
                <w:rFonts w:hint="eastAsia"/>
                <w:b/>
                <w:bCs/>
                <w:sz w:val="21"/>
                <w:szCs w:val="21"/>
                <w:lang w:val="en-US" w:eastAsia="zh-CN"/>
              </w:rPr>
              <w:t>3、易幻未来在发行VR游戏方面的规划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我们觉得在当前的应用下，可以慢慢去尝试打开虚拟与现实结合的大型社区，同时也是易幻开辟一个新业务线的尝试。在这个赛道里面通过像滑雪的产品，线上可以去替他们做一些合作与代理，线下可能会跟一些大型滑雪场，这个易幻有些优势，比如说韩国、日本都是一直以来易幻很不错的市场，所以我们在当地也笼络了一些资源，比如日本札幌还有韩国的一些地方，滑雪是很出名的。滑雪这项运动在近几年越来越被大众接受，我们希望可以通过线下进行代理，比如滑雪场特约体验，同时和知名教练做一些辅导，去增强虚拟环境与现实结合的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 xml:space="preserve"> 我们希望未来去结合虚拟赛事、虚拟社区、交互慢慢把VR社区搭建起来，成为一个更有竞争力的内容体验商。在纯游戏这块，易幻现在已经做得很好了，并且未来会通过其他的方式进行持续，包括我们今年可能会去涉及国内的发行业务，但国内的手游市场和竞争已经相对比较饱和，VR在5G与云的应用下，正好和手机游戏成为一个不冲突的关系。同时我们有哈视奇这样优秀的VR团队为我们提供内容，加上易幻本身资源的掌握和运用能力，我觉得会有一个比较好的发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sz w:val="21"/>
                <w:szCs w:val="21"/>
              </w:rPr>
            </w:pPr>
            <w:r>
              <w:rPr>
                <w:rFonts w:hint="eastAsia"/>
                <w:b/>
                <w:bCs/>
                <w:sz w:val="21"/>
                <w:szCs w:val="21"/>
              </w:rPr>
              <w:t>二、问答部分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sz w:val="21"/>
                <w:szCs w:val="21"/>
              </w:rPr>
            </w:pPr>
            <w:r>
              <w:rPr>
                <w:rFonts w:hint="eastAsia"/>
                <w:b/>
                <w:bCs/>
                <w:sz w:val="21"/>
                <w:szCs w:val="21"/>
              </w:rPr>
              <w:t>1、目前公司的员工持股计划进展如何？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答：员工激励计划主要包括现金奖励、回购股票激励、股权激励、未来可能变现的股权安排等。从期限上看，目前计划实施处于初期阶段，针对易幻团队的激励将于不久后落地。</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sz w:val="21"/>
                <w:szCs w:val="21"/>
              </w:rPr>
            </w:pPr>
            <w:r>
              <w:rPr>
                <w:rFonts w:hint="eastAsia"/>
                <w:b/>
                <w:bCs/>
                <w:sz w:val="21"/>
                <w:szCs w:val="21"/>
              </w:rPr>
              <w:t>2、2016年以来成了很多VR公司，我们做的比较好，但很多公司推出了市场，是不是目前存活下来的VR公司比较少？哈视奇属于什么水平？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答：目前来说国内VR游戏公司还存在的差不多10多家，哈视奇一直属于第一梯队，不论是产品受欢迎程度还是产品数据来说，一直都是第一梯队。</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sz w:val="21"/>
                <w:szCs w:val="21"/>
              </w:rPr>
            </w:pPr>
            <w:r>
              <w:rPr>
                <w:rFonts w:hint="eastAsia"/>
                <w:b/>
                <w:bCs/>
                <w:sz w:val="21"/>
                <w:szCs w:val="21"/>
              </w:rPr>
              <w:t>3、滑雪游戏已经迭代到3代了，在这个品类公司的壁垒深吗？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答：我们是全球最早开发VR滑雪游戏，而且是做的最好的一家公司。滑雪游戏15年底开始研发，16年初第一代上线，迄今为止已经研发了两代VR滑雪，并且还延伸出了10多个适配各平台或者硬件的版本。另外19年全年在研发第三代，现在即将完成，2020年初将正式上线，滑雪系列已成为哈视奇代表作和明星产品。市面上也有同行在做滑雪游戏，但游戏体验和玩法远远比不上我们，通过迭代开发，且我们有全球范围内庞大的用户基础，收集大量的用户反馈，本身对游戏进行大量优化，特别是对于VR游戏常见的眩晕问题，通过不断尝试探索，最终克服了这个问题，所以壁垒非常高，别人做不过我们。</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sz w:val="21"/>
                <w:szCs w:val="21"/>
              </w:rPr>
            </w:pPr>
            <w:r>
              <w:rPr>
                <w:rFonts w:hint="eastAsia"/>
                <w:b/>
                <w:bCs/>
                <w:sz w:val="21"/>
                <w:szCs w:val="21"/>
              </w:rPr>
              <w:t>4、新品类休闲游戏如《捕鱼大冒险》、《水果忍者镖》会成为爆款吗？捕鱼游戏盈利性很强，我们的VR版会不会有更大的优势？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答：当前VR用户大多数都是小白用户，所以研发重点在于VR休闲类游戏，《捕鱼大冒险》、《水果忍者镖》题材本身喜闻乐见，且简单易上手又好玩，用户受众比较广，游戏有成为爆款的希望。现在手机上捕鱼游戏盈利能力确实很强，但VR版载体不一样，玩法形式差异大。且VR游戏目前无内部付费，目前无法直接比较。但我们接下来在做一款移动端AR捕鱼游戏，在玩法上借鉴传统捕鱼游戏，但借助AR增强现实，既有传统手机捕鱼游戏玩法特点，又通过AR给用户带来全新用户体验，希望在营收方面也获得增强。</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sz w:val="21"/>
                <w:szCs w:val="21"/>
              </w:rPr>
            </w:pPr>
            <w:r>
              <w:rPr>
                <w:rFonts w:hint="eastAsia"/>
                <w:b/>
                <w:bCs/>
                <w:sz w:val="21"/>
                <w:szCs w:val="21"/>
                <w:lang w:val="en-US" w:eastAsia="zh-CN"/>
              </w:rPr>
              <w:t>5</w:t>
            </w:r>
            <w:r>
              <w:rPr>
                <w:rFonts w:hint="eastAsia"/>
                <w:b/>
                <w:bCs/>
                <w:sz w:val="21"/>
                <w:szCs w:val="21"/>
              </w:rPr>
              <w:t>、另一款中重度游戏《罗布泊丧尸》开发成本会不会高很多？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答：《罗布泊丧失》属于次时代级游戏，所以开发成本也会较高，二代产品《危城余生》19年底在steam和国内VR平台均已上线，特别是在国内VR线下体验店反响非常不错，未来还会进行二次开发，特别是针对线下体验店还会推出全网联机版本。</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sz w:val="21"/>
                <w:szCs w:val="21"/>
              </w:rPr>
            </w:pPr>
            <w:r>
              <w:rPr>
                <w:rFonts w:hint="eastAsia"/>
                <w:b/>
                <w:bCs/>
                <w:sz w:val="21"/>
                <w:szCs w:val="21"/>
                <w:lang w:val="en-US" w:eastAsia="zh-CN"/>
              </w:rPr>
              <w:t>6、</w:t>
            </w:r>
            <w:r>
              <w:rPr>
                <w:rFonts w:hint="eastAsia"/>
                <w:b/>
                <w:bCs/>
                <w:sz w:val="21"/>
                <w:szCs w:val="21"/>
              </w:rPr>
              <w:t>VR虚拟社区是类似于TAPTAP那种游戏平台或发行平台吗？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sz w:val="21"/>
                <w:szCs w:val="21"/>
                <w:lang w:eastAsia="zh-CN"/>
              </w:rPr>
            </w:pPr>
            <w:r>
              <w:rPr>
                <w:rFonts w:hint="eastAsia"/>
                <w:sz w:val="21"/>
                <w:szCs w:val="21"/>
              </w:rPr>
              <w:t>答：是指一个虚拟的社区，你只要带上穿戴设备，就可以进到一个虚拟空间，选择不同的交友、工具、游戏，可以把他理解成一个产品。但是这个产品还比较抽象，所以我们就用滑雪产品试探性投放在市场里面，再看一下内部的反馈和整个用户体验的情况，同时提升用户游戏体验的交互性、互动性、体验性，这三块是易幻未来会去着手解决的问题。所以他并不是TAPTAP类的游戏平台，可以把它理解成一个世界</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sz w:val="21"/>
                <w:szCs w:val="21"/>
              </w:rPr>
            </w:pPr>
            <w:r>
              <w:rPr>
                <w:rFonts w:hint="eastAsia"/>
                <w:b/>
                <w:bCs/>
                <w:sz w:val="21"/>
                <w:szCs w:val="21"/>
                <w:lang w:val="en-US" w:eastAsia="zh-CN"/>
              </w:rPr>
              <w:t>7、</w:t>
            </w:r>
            <w:r>
              <w:rPr>
                <w:rFonts w:hint="eastAsia"/>
                <w:b/>
                <w:bCs/>
                <w:sz w:val="21"/>
                <w:szCs w:val="21"/>
              </w:rPr>
              <w:t>国内移动VR发展比较快，像国外Oculus quest已经带动整个移动VR，那目前哪些渠道用滑雪游戏会比较多一点呢？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答：如果是国内的话，渠道是依赖于硬件厂商的设备上的自有运营平台，比如华为的VR glass是有自己的应用商店。现在国内主流的移动VR硬件就是华为、pico、小米、爱奇艺、大朋、3glass。我们的产品在这些渠道都是有绝对的优势的，VR滑雪是这几大厂商点名要跟我们合作，作为他们的展示游戏，像华为去年底发布的VR glass在各大线下体验店以及去国内外参展展示的游戏就是我们的VR滑雪，所以说这块，我们的竞争力可以说是独一无二，有绝对的优势。</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sz w:val="21"/>
                <w:szCs w:val="21"/>
              </w:rPr>
            </w:pPr>
            <w:r>
              <w:rPr>
                <w:rFonts w:hint="eastAsia"/>
                <w:b/>
                <w:bCs/>
                <w:sz w:val="21"/>
                <w:szCs w:val="21"/>
                <w:lang w:val="en-US" w:eastAsia="zh-CN"/>
              </w:rPr>
              <w:t>8</w:t>
            </w:r>
            <w:r>
              <w:rPr>
                <w:rFonts w:hint="eastAsia"/>
                <w:b/>
                <w:bCs/>
                <w:sz w:val="21"/>
                <w:szCs w:val="21"/>
                <w:lang w:eastAsia="zh-CN"/>
              </w:rPr>
              <w:t>、</w:t>
            </w:r>
            <w:r>
              <w:rPr>
                <w:rFonts w:hint="eastAsia"/>
                <w:b/>
                <w:bCs/>
                <w:sz w:val="21"/>
                <w:szCs w:val="21"/>
              </w:rPr>
              <w:t>VR滑雪与运营商有没有合作？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答：有的。运营商在VR这一块不能说全面铺开，算是试运营阶段。我们已经有落地的，中国电信的VR云平台已经有我们的滑雪游戏和捕鱼游戏；中国联通我们最近签订了协议，把滑雪作为他们的主打游戏投放市场，因为滑雪比较受普通家庭欢迎。滑雪游戏已经是他们运营商投向VR市场的一块敲门砖。</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sz w:val="21"/>
                <w:szCs w:val="21"/>
              </w:rPr>
            </w:pPr>
            <w:r>
              <w:rPr>
                <w:rFonts w:hint="eastAsia"/>
                <w:b/>
                <w:bCs/>
                <w:sz w:val="21"/>
                <w:szCs w:val="21"/>
                <w:lang w:val="en-US" w:eastAsia="zh-CN"/>
              </w:rPr>
              <w:t>9、</w:t>
            </w:r>
            <w:r>
              <w:rPr>
                <w:rFonts w:hint="eastAsia"/>
                <w:b/>
                <w:bCs/>
                <w:sz w:val="21"/>
                <w:szCs w:val="21"/>
              </w:rPr>
              <w:t>捕鱼、水果忍者这些游戏会不会在运营商平台也有优势（优先推我们的游戏）？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答：是的。竞品目前比较少，我们游戏本身是休闲游戏，通俗易上手，所以特别适合运营商做VR线下推广，同时通过滑雪带动我们其他一系列产品。</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sz w:val="21"/>
                <w:szCs w:val="21"/>
              </w:rPr>
            </w:pPr>
            <w:r>
              <w:rPr>
                <w:rFonts w:hint="eastAsia"/>
                <w:b/>
                <w:bCs/>
                <w:sz w:val="21"/>
                <w:szCs w:val="21"/>
                <w:lang w:val="en-US" w:eastAsia="zh-CN"/>
              </w:rPr>
              <w:t>10、</w:t>
            </w:r>
            <w:r>
              <w:rPr>
                <w:rFonts w:hint="eastAsia"/>
                <w:b/>
                <w:bCs/>
                <w:sz w:val="21"/>
                <w:szCs w:val="21"/>
              </w:rPr>
              <w:t>未来合作过程中，易幻网络和哈视奇科技就资源、人员匹配方面会有怎样的安排?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答：在资源上，易幻网络主要针对移动手机，哈视奇科技针对VR穿戴设备，但在游戏传播途径上有一定的契合度。从游戏发展史看，大多为硬件跟随软件，少有软件为硬件定制的情况，所以未来用户只是在不同的渠道看到相同的内容。在人员上，中国VR游戏领域人才不多，易幻和哈视奇将共同培养对VR有深度了解的技术性人才，同时也会加强对虚拟社区运营人员的培养。在商业化和社群体验与建设方面，易幻网络人才充足，对未来有信心。</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sz w:val="21"/>
                <w:szCs w:val="21"/>
              </w:rPr>
            </w:pPr>
            <w:r>
              <w:rPr>
                <w:rFonts w:hint="eastAsia"/>
                <w:b/>
                <w:bCs/>
                <w:sz w:val="21"/>
                <w:szCs w:val="21"/>
                <w:lang w:val="en-US" w:eastAsia="zh-CN"/>
              </w:rPr>
              <w:t>11、</w:t>
            </w:r>
            <w:r>
              <w:rPr>
                <w:rFonts w:hint="eastAsia"/>
                <w:b/>
                <w:bCs/>
                <w:sz w:val="21"/>
                <w:szCs w:val="21"/>
              </w:rPr>
              <w:t>国内VR游戏盈利模式如何？类似于内购置还是买断制呢？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答：目前主流VR游戏盈利模式是“卖拷贝”，即游戏逐份销售。未来VR游戏玩法会更加丰富，盈利模式趋于多元化，内购付费也将开始流行，线下体验店也会有“点击付费”模式，用户的点击将为游戏开发商带来收入。</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sz w:val="21"/>
                <w:szCs w:val="21"/>
              </w:rPr>
            </w:pPr>
            <w:r>
              <w:rPr>
                <w:rFonts w:hint="eastAsia"/>
                <w:b/>
                <w:bCs/>
                <w:sz w:val="21"/>
                <w:szCs w:val="21"/>
                <w:lang w:val="en-US" w:eastAsia="zh-CN"/>
              </w:rPr>
              <w:t>12、</w:t>
            </w:r>
            <w:r>
              <w:rPr>
                <w:rFonts w:hint="eastAsia"/>
                <w:b/>
                <w:bCs/>
                <w:sz w:val="21"/>
                <w:szCs w:val="21"/>
              </w:rPr>
              <w:t>宝通正在为哈视奇提供To B端订单，这会对哈视奇的未来发展有怎样的帮助呢？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答：宝通科技在工业领域有大量客户，将为哈视奇带来丰富的行业资源。比如，通过宝通的对接，哈视奇目前正在同力拓集团合作，开发工业+VR方面的应用。从上市公司层面来看，哈视奇的技术能力及解决方案对宝通工业一站式输送业务有黏性助推作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sz w:val="21"/>
                <w:szCs w:val="21"/>
                <w:lang w:eastAsia="zh-CN"/>
              </w:rPr>
            </w:pPr>
            <w:r>
              <w:rPr>
                <w:rFonts w:hint="eastAsia"/>
                <w:b/>
                <w:bCs/>
                <w:sz w:val="21"/>
                <w:szCs w:val="21"/>
                <w:lang w:val="en-US" w:eastAsia="zh-CN"/>
              </w:rPr>
              <w:t>13、</w:t>
            </w:r>
            <w:r>
              <w:rPr>
                <w:rFonts w:hint="eastAsia"/>
                <w:b/>
                <w:bCs/>
                <w:sz w:val="21"/>
                <w:szCs w:val="21"/>
              </w:rPr>
              <w:t>移动VR兴起后如何保持、扩大市场份额</w:t>
            </w:r>
            <w:r>
              <w:rPr>
                <w:rFonts w:hint="eastAsia"/>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答：一方面，团队自2015年成立以来，在技术、游戏设计方面积累了丰富的经验，对VR游戏理解较为深刻；另一方面，团队积累了大量用户反馈数据，未来开发的产品目标性会更强。</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sz w:val="21"/>
                <w:szCs w:val="21"/>
              </w:rPr>
            </w:pPr>
            <w:r>
              <w:rPr>
                <w:rFonts w:hint="eastAsia"/>
                <w:b/>
                <w:bCs/>
                <w:sz w:val="21"/>
                <w:szCs w:val="21"/>
                <w:lang w:val="en-US" w:eastAsia="zh-CN"/>
              </w:rPr>
              <w:t>14、</w:t>
            </w:r>
            <w:r>
              <w:rPr>
                <w:rFonts w:hint="eastAsia"/>
                <w:b/>
                <w:bCs/>
                <w:sz w:val="21"/>
                <w:szCs w:val="21"/>
              </w:rPr>
              <w:t>对于休闲类游戏，研发资金量如何？是否会开发类似于国外的热门休闲游戏？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答：相比于3D重度游戏，休闲类游戏研发成本较低。未来会学习国外休闲游戏的特点，同时会发掘和延续团队自身特色。</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sz w:val="21"/>
                <w:szCs w:val="21"/>
                <w:lang w:eastAsia="zh-CN"/>
              </w:rPr>
            </w:pPr>
            <w:r>
              <w:rPr>
                <w:rFonts w:hint="eastAsia"/>
                <w:b/>
                <w:bCs/>
                <w:sz w:val="21"/>
                <w:szCs w:val="21"/>
                <w:lang w:val="en-US" w:eastAsia="zh-CN"/>
              </w:rPr>
              <w:t>15、</w:t>
            </w:r>
            <w:r>
              <w:rPr>
                <w:rFonts w:hint="eastAsia"/>
                <w:b/>
                <w:bCs/>
                <w:sz w:val="21"/>
                <w:szCs w:val="21"/>
              </w:rPr>
              <w:t>公司如何看待未来移动VR市场规模</w:t>
            </w:r>
            <w:r>
              <w:rPr>
                <w:rFonts w:hint="eastAsia"/>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答：首先，国家层面大力推动5G发展，为VR市场建立了基础设施；另外，VR硬件设施发展较快，硬件体验变好，价格更加亲民，内容质量不断上升，多种利好因素相辅相成，将推动未来VR市场的爆发。根据IDC公开数据，2020年VR/AR领域营收高达188亿美金，同时2019-2023年期间，VR/AR领域年复合增长率可达67%，未来VR领域将处于蓬勃发展阶段。</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sz w:val="21"/>
                <w:szCs w:val="21"/>
              </w:rPr>
            </w:pPr>
            <w:r>
              <w:rPr>
                <w:rFonts w:hint="eastAsia"/>
                <w:b/>
                <w:bCs/>
                <w:sz w:val="21"/>
                <w:szCs w:val="21"/>
                <w:lang w:val="en-US" w:eastAsia="zh-CN"/>
              </w:rPr>
              <w:t>16、</w:t>
            </w:r>
            <w:r>
              <w:rPr>
                <w:rFonts w:hint="eastAsia"/>
                <w:b/>
                <w:bCs/>
                <w:sz w:val="21"/>
                <w:szCs w:val="21"/>
              </w:rPr>
              <w:t>股权方面，宝通科技公司提出适当增持哈视奇股份。那么宝通科技对哈视奇未来的发展期望是怎样的呢？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答：宝通科技期待哈视奇成为国内VR/AR领域在To B和To C端的头部公司。在资金方面，看好VR/AR赛道，未来将继续在资金、资源方面支持哈视奇的发展。4G曾带动手机游戏，在5G来临的浪潮下，VR市场也将蓬勃发展。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sz w:val="21"/>
                <w:szCs w:val="21"/>
                <w:lang w:val="en-US" w:eastAsia="zh-CN"/>
              </w:rPr>
            </w:pPr>
            <w:r>
              <w:rPr>
                <w:rFonts w:hint="eastAsia"/>
                <w:b/>
                <w:bCs/>
                <w:sz w:val="21"/>
                <w:szCs w:val="21"/>
                <w:lang w:val="en-US" w:eastAsia="zh-CN"/>
              </w:rPr>
              <w:t>17、未来VR的角色偏向于配件还是独立设备呢？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答：个人认为VR未来可能会成为运算平台和个人中心，甚至可能取代手机。随着硬件的发展，未来将不再有轻度、重度游戏的区别。</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sz w:val="21"/>
                <w:szCs w:val="21"/>
                <w:lang w:val="en-US" w:eastAsia="zh-CN"/>
              </w:rPr>
            </w:pPr>
            <w:r>
              <w:rPr>
                <w:rFonts w:hint="eastAsia"/>
                <w:b/>
                <w:bCs/>
                <w:sz w:val="21"/>
                <w:szCs w:val="21"/>
                <w:lang w:val="en-US" w:eastAsia="zh-CN"/>
              </w:rPr>
              <w:t>18、哈视奇科技在《奇幻滑雪》《捕鱼大冒险》等产品的销售数据表现如何？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答：具体数据目前不方便透露。以滑雪来说，营收数据在国内排名前三，捕鱼类游戏不及滑雪，但仍属于优秀之列。</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sz w:val="21"/>
                <w:szCs w:val="21"/>
                <w:lang w:val="en-US" w:eastAsia="zh-CN"/>
              </w:rPr>
            </w:pPr>
            <w:r>
              <w:rPr>
                <w:rFonts w:hint="eastAsia"/>
                <w:b/>
                <w:bCs/>
                <w:sz w:val="21"/>
                <w:szCs w:val="21"/>
                <w:lang w:val="en-US" w:eastAsia="zh-CN"/>
              </w:rPr>
              <w:t>19、VR一体化设备到个人、家用场景周期还有多久？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答：预计在两年左右。VR设备自2016年大规模发售，至今经历四年左右时间，消费者对VR产品比较熟悉。未来随着硬件产品的迭代，消费者体验将越来越好，价格也将更加亲民，将有更多的消费者选择VR一体化设备。</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sz w:val="21"/>
                <w:szCs w:val="21"/>
                <w:lang w:val="en-US" w:eastAsia="zh-CN"/>
              </w:rPr>
            </w:pPr>
            <w:r>
              <w:rPr>
                <w:rFonts w:hint="eastAsia"/>
                <w:b/>
                <w:bCs/>
                <w:sz w:val="21"/>
                <w:szCs w:val="21"/>
                <w:lang w:val="en-US" w:eastAsia="zh-CN"/>
              </w:rPr>
              <w:t>20、短期内合作渠道仍然是线下体验店、滑雪场吗？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iCs/>
                <w:sz w:val="24"/>
                <w:lang w:val="en-US" w:eastAsia="zh-CN"/>
              </w:rPr>
            </w:pPr>
            <w:r>
              <w:rPr>
                <w:rFonts w:hint="eastAsia"/>
                <w:sz w:val="21"/>
                <w:szCs w:val="21"/>
              </w:rPr>
              <w:t>答：线上线下在同时进行。目前国内用户接触最多仍旧是线下体验店，消费级VR设备销量表现不错，发售量十分可观。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060" w:type="dxa"/>
            <w:tcBorders>
              <w:top w:val="single" w:color="auto" w:sz="4" w:space="0"/>
              <w:left w:val="single" w:color="auto" w:sz="4" w:space="0"/>
              <w:bottom w:val="single" w:color="auto" w:sz="4" w:space="0"/>
              <w:right w:val="single" w:color="auto" w:sz="4" w:space="0"/>
            </w:tcBorders>
            <w:vAlign w:val="center"/>
          </w:tcPr>
          <w:p>
            <w:pPr>
              <w:spacing w:line="480" w:lineRule="atLeast"/>
              <w:jc w:val="center"/>
              <w:rPr>
                <w:bCs/>
                <w:iCs/>
                <w:sz w:val="24"/>
              </w:rPr>
            </w:pPr>
            <w:r>
              <w:rPr>
                <w:bCs/>
                <w:iCs/>
                <w:sz w:val="24"/>
              </w:rPr>
              <w:t>附件清单（如有）</w:t>
            </w:r>
          </w:p>
        </w:tc>
        <w:tc>
          <w:tcPr>
            <w:tcW w:w="7740" w:type="dxa"/>
            <w:tcBorders>
              <w:top w:val="single" w:color="auto" w:sz="4" w:space="0"/>
              <w:left w:val="single" w:color="auto" w:sz="4" w:space="0"/>
              <w:bottom w:val="single" w:color="auto" w:sz="4" w:space="0"/>
              <w:right w:val="single" w:color="auto" w:sz="4" w:space="0"/>
            </w:tcBorders>
            <w:vAlign w:val="center"/>
          </w:tcPr>
          <w:p>
            <w:pPr>
              <w:spacing w:line="480" w:lineRule="atLeast"/>
              <w:rPr>
                <w:bCs/>
                <w:iCs/>
                <w:sz w:val="24"/>
              </w:rPr>
            </w:pPr>
            <w:r>
              <w:rPr>
                <w:bCs/>
                <w:iCs/>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3060" w:type="dxa"/>
            <w:tcBorders>
              <w:top w:val="single" w:color="auto" w:sz="4" w:space="0"/>
              <w:left w:val="single" w:color="auto" w:sz="4" w:space="0"/>
              <w:bottom w:val="single" w:color="auto" w:sz="4" w:space="0"/>
              <w:right w:val="single" w:color="auto" w:sz="4" w:space="0"/>
            </w:tcBorders>
            <w:vAlign w:val="center"/>
          </w:tcPr>
          <w:p>
            <w:pPr>
              <w:spacing w:line="480" w:lineRule="atLeast"/>
              <w:jc w:val="center"/>
              <w:rPr>
                <w:bCs/>
                <w:iCs/>
                <w:sz w:val="24"/>
              </w:rPr>
            </w:pPr>
            <w:r>
              <w:rPr>
                <w:bCs/>
                <w:iCs/>
                <w:sz w:val="24"/>
              </w:rPr>
              <w:t>日期</w:t>
            </w:r>
          </w:p>
        </w:tc>
        <w:tc>
          <w:tcPr>
            <w:tcW w:w="7740" w:type="dxa"/>
            <w:tcBorders>
              <w:top w:val="single" w:color="auto" w:sz="4" w:space="0"/>
              <w:left w:val="single" w:color="auto" w:sz="4" w:space="0"/>
              <w:bottom w:val="single" w:color="auto" w:sz="4" w:space="0"/>
              <w:right w:val="single" w:color="auto" w:sz="4" w:space="0"/>
            </w:tcBorders>
            <w:vAlign w:val="center"/>
          </w:tcPr>
          <w:p>
            <w:pPr>
              <w:spacing w:line="480" w:lineRule="atLeast"/>
              <w:rPr>
                <w:bCs/>
                <w:iCs/>
                <w:sz w:val="24"/>
              </w:rPr>
            </w:pPr>
            <w:r>
              <w:rPr>
                <w:bCs/>
                <w:iCs/>
                <w:sz w:val="24"/>
              </w:rPr>
              <w:t>2</w:t>
            </w:r>
            <w:r>
              <w:rPr>
                <w:rFonts w:hint="eastAsia"/>
                <w:bCs/>
                <w:iCs/>
                <w:sz w:val="24"/>
              </w:rPr>
              <w:t>020</w:t>
            </w:r>
            <w:r>
              <w:rPr>
                <w:bCs/>
                <w:iCs/>
                <w:sz w:val="24"/>
              </w:rPr>
              <w:t>年</w:t>
            </w:r>
            <w:r>
              <w:rPr>
                <w:rFonts w:hint="eastAsia"/>
                <w:bCs/>
                <w:iCs/>
                <w:sz w:val="24"/>
                <w:lang w:val="en-US" w:eastAsia="zh-CN"/>
              </w:rPr>
              <w:t>02</w:t>
            </w:r>
            <w:r>
              <w:rPr>
                <w:bCs/>
                <w:iCs/>
                <w:sz w:val="24"/>
              </w:rPr>
              <w:t>月</w:t>
            </w:r>
            <w:r>
              <w:rPr>
                <w:rFonts w:hint="eastAsia"/>
                <w:bCs/>
                <w:iCs/>
                <w:sz w:val="24"/>
              </w:rPr>
              <w:t>1</w:t>
            </w:r>
            <w:r>
              <w:rPr>
                <w:rFonts w:hint="eastAsia"/>
                <w:bCs/>
                <w:iCs/>
                <w:sz w:val="24"/>
                <w:lang w:val="en-US" w:eastAsia="zh-CN"/>
              </w:rPr>
              <w:t>1</w:t>
            </w:r>
            <w:bookmarkStart w:id="0" w:name="_GoBack"/>
            <w:bookmarkEnd w:id="0"/>
            <w:r>
              <w:rPr>
                <w:bCs/>
                <w:iCs/>
                <w:sz w:val="24"/>
              </w:rPr>
              <w:t>日</w:t>
            </w:r>
          </w:p>
        </w:tc>
      </w:tr>
    </w:tbl>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golian Baiti">
    <w:panose1 w:val="03000500000000000000"/>
    <w:charset w:val="00"/>
    <w:family w:val="script"/>
    <w:pitch w:val="default"/>
    <w:sig w:usb0="80000023" w:usb1="00000000" w:usb2="00020000" w:usb3="00000000" w:csb0="00000001"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8DB68A2"/>
    <w:rsid w:val="00102B58"/>
    <w:rsid w:val="0020710D"/>
    <w:rsid w:val="0045488B"/>
    <w:rsid w:val="0056670C"/>
    <w:rsid w:val="00BC00EE"/>
    <w:rsid w:val="00D840E3"/>
    <w:rsid w:val="09942825"/>
    <w:rsid w:val="501947DB"/>
    <w:rsid w:val="57CE7058"/>
    <w:rsid w:val="58DB68A2"/>
    <w:rsid w:val="69086164"/>
    <w:rsid w:val="77451491"/>
    <w:rsid w:val="7CE86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Mongolian Bait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321</Words>
  <Characters>1831</Characters>
  <Lines>15</Lines>
  <Paragraphs>4</Paragraphs>
  <TotalTime>3</TotalTime>
  <ScaleCrop>false</ScaleCrop>
  <LinksUpToDate>false</LinksUpToDate>
  <CharactersWithSpaces>2148</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2020-01-13T07:09:00Z</dcterms:created>
  <dc:creator>wbf</dc:creator>
  <cp:lastModifiedBy>张家琪01</cp:lastModifiedBy>
  <dcterms:modified xsi:type="dcterms:W3CDTF">2020-02-12T01:39:51Z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