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E293D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9E293D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27F76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花旗银行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027F76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027F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27F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74B2A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2515C0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Pr="00CA0689" w:rsidRDefault="002721F3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27F76" w:rsidRPr="004F7360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平安银行前三季度的经营业绩</w:t>
            </w:r>
            <w:r w:rsidRPr="004F7360">
              <w:rPr>
                <w:rFonts w:ascii="Arial" w:eastAsia="华文细黑" w:hAnsi="Arial" w:hint="eastAsia"/>
                <w:sz w:val="21"/>
              </w:rPr>
              <w:t>？</w:t>
            </w:r>
          </w:p>
          <w:p w:rsidR="00027F76" w:rsidRPr="00E724E3" w:rsidRDefault="00027F76" w:rsidP="00027F76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月，本行实现营业收入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1,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029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8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8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；其中利息净收入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66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21.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；非利息净收入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66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89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。减值损失前营业利润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17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09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19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0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；净利润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236.2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15.5%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月净利差、净息差分别为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2.5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2.62%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，与去年同期相比均提升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个基点，盈利能力保持稳定。</w:t>
            </w:r>
          </w:p>
          <w:p w:rsidR="00AD052D" w:rsidRDefault="00AD052D" w:rsidP="00027F76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4353EE" w:rsidRPr="004F7360" w:rsidRDefault="004353EE" w:rsidP="004353EE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F7360">
              <w:rPr>
                <w:rFonts w:ascii="Arial" w:eastAsia="华文细黑" w:hAnsi="Arial" w:hint="eastAsia"/>
                <w:sz w:val="21"/>
              </w:rPr>
              <w:t>零售转型做的挺好，为什么现在又开始做对公了？</w:t>
            </w:r>
          </w:p>
          <w:p w:rsidR="004353EE" w:rsidRPr="004F7360" w:rsidRDefault="004353EE" w:rsidP="004353EE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过去三年，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加大力度通过各种渠道做综合金融，快速迁徙集团客户。过去三年看到的更多的是零售方面的综合金融成效和业务增长，零售占比提升至六成。未来对公和零售需要协同发展，加大集团对公资源的撬动，更有利于未来零售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2.0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转型的目标。</w:t>
            </w:r>
          </w:p>
          <w:p w:rsidR="004353EE" w:rsidRDefault="004353EE" w:rsidP="004353EE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接下来，银行战略没有改变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。未来愿景还是全球领先、中国卓越的智能零售银行。对公过去是压降，现在恢复正常状态，将在负债、代发等业务帮助零售，未来零售私行靠对公获取优质资产，有利于零售私行财务管理业务的长期发展和提升差异化竞争优势。</w:t>
            </w:r>
          </w:p>
          <w:p w:rsidR="004353EE" w:rsidRDefault="004353EE" w:rsidP="00027F76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4353EE" w:rsidRPr="00226184" w:rsidRDefault="004353EE" w:rsidP="004353EE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0" w:name="_GoBack"/>
            <w:r w:rsidRPr="00226184">
              <w:rPr>
                <w:rFonts w:ascii="Arial" w:eastAsia="华文细黑" w:hAnsi="Arial" w:hint="eastAsia"/>
                <w:sz w:val="21"/>
              </w:rPr>
              <w:t>平安银行</w:t>
            </w:r>
            <w:r w:rsidRPr="00226184">
              <w:rPr>
                <w:rFonts w:ascii="Arial" w:eastAsia="华文细黑" w:hAnsi="Arial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</w:rPr>
              <w:t>年</w:t>
            </w:r>
            <w:r w:rsidRPr="00226184">
              <w:rPr>
                <w:rFonts w:ascii="Arial" w:eastAsia="华文细黑" w:hAnsi="Arial"/>
                <w:sz w:val="21"/>
              </w:rPr>
              <w:t>ROA</w:t>
            </w:r>
            <w:r w:rsidRPr="00226184">
              <w:rPr>
                <w:rFonts w:ascii="Arial" w:eastAsia="华文细黑" w:hAnsi="Arial" w:hint="eastAsia"/>
                <w:sz w:val="21"/>
              </w:rPr>
              <w:t>和</w:t>
            </w:r>
            <w:r w:rsidRPr="00226184">
              <w:rPr>
                <w:rFonts w:ascii="Arial" w:eastAsia="华文细黑" w:hAnsi="Arial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sz w:val="21"/>
              </w:rPr>
              <w:t>目标？具体提升举措是什么？</w:t>
            </w:r>
            <w:r w:rsidRPr="00226184">
              <w:rPr>
                <w:rFonts w:ascii="Arial" w:eastAsia="华文细黑" w:hAnsi="Arial"/>
                <w:sz w:val="21"/>
              </w:rPr>
              <w:t xml:space="preserve"> </w:t>
            </w:r>
          </w:p>
          <w:p w:rsidR="004353EE" w:rsidRDefault="004353EE" w:rsidP="004353EE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E724E3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年三季度末，受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9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月份可转债转股摊薄的影响，年化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12.64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，同比上年增长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0.04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个百分点，剔除此因素的影响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ROE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为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12.88%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，同比增长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0.28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个百分点。本行需要在利润增长和风险抵御能力上寻求合理平衡，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未来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有望保持持续上升。</w:t>
            </w:r>
          </w:p>
          <w:bookmarkEnd w:id="0"/>
          <w:p w:rsidR="005D7C17" w:rsidRDefault="005D7C17" w:rsidP="00027F76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5D7C17" w:rsidRPr="00471475" w:rsidRDefault="005D7C17" w:rsidP="005D7C17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前三季度</w:t>
            </w:r>
            <w:r w:rsidRPr="00E724E3">
              <w:rPr>
                <w:rFonts w:ascii="Arial" w:eastAsia="华文细黑" w:hAnsi="Arial" w:hint="eastAsia"/>
                <w:sz w:val="21"/>
              </w:rPr>
              <w:t>净息差</w:t>
            </w:r>
            <w:r>
              <w:rPr>
                <w:rFonts w:ascii="Arial" w:eastAsia="华文细黑" w:hAnsi="Arial" w:hint="eastAsia"/>
                <w:sz w:val="21"/>
              </w:rPr>
              <w:t>保持平稳</w:t>
            </w:r>
            <w:r w:rsidRPr="00E724E3">
              <w:rPr>
                <w:rFonts w:ascii="Arial" w:eastAsia="华文细黑" w:hAnsi="Arial" w:hint="eastAsia"/>
                <w:sz w:val="21"/>
              </w:rPr>
              <w:t>，</w:t>
            </w:r>
            <w:r>
              <w:rPr>
                <w:rFonts w:ascii="Arial" w:eastAsia="华文细黑" w:hAnsi="Arial" w:hint="eastAsia"/>
                <w:sz w:val="21"/>
              </w:rPr>
              <w:t>未来趋势</w:t>
            </w:r>
            <w:r w:rsidRPr="00E724E3">
              <w:rPr>
                <w:rFonts w:ascii="Arial" w:eastAsia="华文细黑" w:hAnsi="Arial" w:hint="eastAsia"/>
                <w:sz w:val="21"/>
              </w:rPr>
              <w:t>？</w:t>
            </w:r>
          </w:p>
          <w:p w:rsidR="005D7C17" w:rsidRDefault="005D7C17" w:rsidP="005D7C17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本行净息差同比去年三季度，从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2.2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9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上升到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2.62%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</w:t>
            </w:r>
            <w:r>
              <w:rPr>
                <w:rFonts w:ascii="Arial" w:eastAsia="华文细黑" w:hAnsi="Arial"/>
                <w:b w:val="0"/>
                <w:sz w:val="21"/>
              </w:rPr>
              <w:t>增加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3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3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bp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，在同业中处于较高水平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，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净息差保持稳定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。</w:t>
            </w:r>
          </w:p>
          <w:p w:rsidR="005D7C17" w:rsidRPr="00E724E3" w:rsidRDefault="005D7C17" w:rsidP="005D7C17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主要原因是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t>受市场利率下行因素及资产重定价影响，新发放贷</w:t>
            </w:r>
            <w:r w:rsidRPr="00E724E3">
              <w:rPr>
                <w:rFonts w:ascii="Arial" w:eastAsia="华文细黑" w:hAnsi="Arial"/>
                <w:b w:val="0"/>
                <w:sz w:val="21"/>
              </w:rPr>
              <w:lastRenderedPageBreak/>
              <w:t>款收益率走低，市场化程度较高的资产收益率下降明显</w:t>
            </w:r>
            <w:r w:rsidRPr="00E724E3">
              <w:rPr>
                <w:rFonts w:ascii="Arial" w:eastAsia="华文细黑" w:hAnsi="Arial"/>
                <w:b w:val="0"/>
                <w:bCs w:val="0"/>
                <w:sz w:val="21"/>
              </w:rPr>
              <w:t>，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资产端收益率环比下降</w:t>
            </w:r>
            <w:r w:rsidRPr="00E724E3">
              <w:rPr>
                <w:rFonts w:ascii="Arial" w:eastAsia="华文细黑" w:hAnsi="Arial" w:hint="eastAsia"/>
                <w:b w:val="0"/>
                <w:sz w:val="21"/>
              </w:rPr>
              <w:t>10bp</w:t>
            </w:r>
            <w:r>
              <w:rPr>
                <w:rFonts w:ascii="Arial" w:eastAsia="华文细黑" w:hAnsi="Arial" w:hint="eastAsia"/>
                <w:b w:val="0"/>
                <w:bCs w:val="0"/>
                <w:sz w:val="21"/>
              </w:rPr>
              <w:t>。</w:t>
            </w:r>
          </w:p>
          <w:p w:rsidR="005D7C17" w:rsidRPr="005D7C17" w:rsidRDefault="005D7C17" w:rsidP="00027F76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027F76" w:rsidRPr="00CA068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" w:name="_Toc464590920"/>
            <w:bookmarkStart w:id="2" w:name="_Toc464720594"/>
            <w:bookmarkStart w:id="3" w:name="_Toc448833292"/>
            <w:bookmarkStart w:id="4" w:name="_Toc464590889"/>
            <w:bookmarkStart w:id="5" w:name="_Toc464720557"/>
            <w:bookmarkStart w:id="6" w:name="_Toc448833286"/>
            <w:bookmarkStart w:id="7" w:name="_Toc458425958"/>
            <w:bookmarkStart w:id="8" w:name="_Toc464590895"/>
            <w:bookmarkStart w:id="9" w:name="_Toc464720571"/>
            <w:r w:rsidRPr="009E293D">
              <w:rPr>
                <w:rFonts w:ascii="Arial" w:eastAsia="华文细黑" w:hAnsi="Arial" w:hint="eastAsia"/>
                <w:sz w:val="21"/>
              </w:rPr>
              <w:t>拨备</w:t>
            </w:r>
            <w:r>
              <w:rPr>
                <w:rFonts w:ascii="Arial" w:eastAsia="华文细黑" w:hAnsi="Arial" w:hint="eastAsia"/>
                <w:sz w:val="21"/>
              </w:rPr>
              <w:t>计提及</w:t>
            </w:r>
            <w:r w:rsidRPr="009E293D">
              <w:rPr>
                <w:rFonts w:ascii="Arial" w:eastAsia="华文细黑" w:hAnsi="Arial" w:hint="eastAsia"/>
                <w:sz w:val="21"/>
              </w:rPr>
              <w:t>覆盖率</w:t>
            </w:r>
            <w:r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027F76" w:rsidRDefault="00027F76" w:rsidP="00027F76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月末，贷款减值准备余额为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672.62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24.1%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；拨贷比为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3.13%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，较半年末和上年末分别增加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0.07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个百分点和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0.42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个百分点；拨备覆盖率为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186.18%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、较上年末增加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30.94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个百分点，逾期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90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天以上贷款拨备覆盖率为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213.83%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，风险抵补能力进一步增强。</w:t>
            </w:r>
          </w:p>
          <w:p w:rsidR="009E293D" w:rsidRDefault="009E293D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27F76" w:rsidRPr="00CA068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私行及财富业务发展情况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027F76" w:rsidRPr="004353EE" w:rsidRDefault="00027F76" w:rsidP="004353EE">
            <w:pPr>
              <w:ind w:firstLineChars="250" w:firstLine="525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月末，本行财富客户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74.84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26.5%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；私行达标客户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4.09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，私行达标客户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规模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6,693.76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46.2%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。本行持续强化落实经营转型策略。同时，充分利用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科技力量和平安集团综合金融模式的优势，打造了一支专业化、智能化的投顾团队，推出了智能投顾、智能投研服务。在经营机制方面，打造了“分支行”、“私行中心”、“综合金融”三大业务模式，以全面数据化经营为抓手，强化私行客户经营能力和资产配置能力。</w:t>
            </w:r>
          </w:p>
          <w:p w:rsidR="00027F76" w:rsidRDefault="00027F76" w:rsidP="00027F76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27F76" w:rsidRPr="00CA068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汽车金融的新策略</w:t>
            </w:r>
            <w:r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027F76" w:rsidRPr="00DD684A" w:rsidRDefault="00027F76" w:rsidP="00027F76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月，本行汽车金融贷款新发放额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1,078.68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月末本行汽车金融贷款余额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1,682.74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亿元，较上年末降幅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。在汽车消费市场整体增速放缓的趋势下，本行持续依托科技赋能，通过流程优化、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智能化等多项举措，深耕车生态经营策略，不断提升客户体验和服务效率。</w:t>
            </w:r>
          </w:p>
          <w:p w:rsidR="00074B2A" w:rsidRDefault="00074B2A" w:rsidP="005B3BAE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E2525F" w:rsidRDefault="00E2525F" w:rsidP="00E2525F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按揭业务情况？</w:t>
            </w:r>
          </w:p>
          <w:p w:rsidR="00E2525F" w:rsidRDefault="00E2525F" w:rsidP="00E2525F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月末，本行住房按揭贷款余额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1,912.17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亿，较上年末增长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4.9%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。本行严格落实国家政策规定和监管要求，支持居民家庭首套自住购房需求，并将继续在合规和符合监管要求的前提下稳步开展住房信贷业务。</w:t>
            </w:r>
          </w:p>
          <w:p w:rsidR="00E2525F" w:rsidRPr="00E2525F" w:rsidRDefault="00E2525F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607C7E" w:rsidRPr="00CA0689" w:rsidRDefault="00607C7E" w:rsidP="00607C7E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607C7E" w:rsidRDefault="00607C7E" w:rsidP="00607C7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1-9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月，本行通过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模式获客（不含信用卡）净增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190.51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万户，占零售整体净增客户（不含信用卡）的比例为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29.3%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6.21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万户，占整体净增财富客户的比例为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39.6%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1,720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亿元，占零售整体净增客户资产余额的比例为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37.8%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模式发放“新一贷”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477.14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亿元，占“新一贷”整体发放的比例为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58.2%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394.97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亿元，占汽融贷款整体发放的比例为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36.6%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模式发卡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369.73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34.1%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。本行零售全渠道代销集团保险累计实现非利息净收入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23.18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24.5%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074B2A" w:rsidRPr="00607C7E" w:rsidRDefault="00074B2A" w:rsidP="005B3BAE">
            <w:pPr>
              <w:adjustRightInd w:val="0"/>
              <w:snapToGrid w:val="0"/>
              <w:rPr>
                <w:rFonts w:ascii="Arial" w:eastAsia="华文细黑" w:hAnsi="Arial"/>
                <w:color w:val="FF0000"/>
                <w:sz w:val="21"/>
                <w:szCs w:val="21"/>
              </w:rPr>
            </w:pPr>
          </w:p>
          <w:p w:rsidR="00027F76" w:rsidRPr="00E420B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20B9">
              <w:rPr>
                <w:rFonts w:ascii="Arial" w:eastAsia="华文细黑" w:hAnsi="Arial" w:hint="eastAsia"/>
                <w:sz w:val="21"/>
              </w:rPr>
              <w:t>科技的投入和成果如何？</w:t>
            </w:r>
          </w:p>
          <w:p w:rsidR="00E420B9" w:rsidRDefault="00E420B9" w:rsidP="00E420B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本行将“科技引领”作为全行首要发展战略方针。</w:t>
            </w:r>
          </w:p>
          <w:p w:rsidR="00E420B9" w:rsidRDefault="00E420B9" w:rsidP="00E420B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科技投入方面：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年上半年科技投入继续大幅增加，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IT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资本性支出及费用合计同比增长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36.9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E420B9" w:rsidRDefault="00E420B9" w:rsidP="00E420B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lastRenderedPageBreak/>
              <w:t>科技赋能方面：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一是聚焦平台能力建设，打造了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AI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中台、银行私有云平台、数据中台、分布式</w:t>
            </w:r>
            <w:r w:rsidRPr="00E420B9">
              <w:rPr>
                <w:rFonts w:ascii="Arial" w:eastAsia="华文细黑" w:hAnsi="Arial"/>
                <w:bCs/>
                <w:sz w:val="21"/>
                <w:szCs w:val="21"/>
              </w:rPr>
              <w:t>PaaS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云平台、项目可视化平台等基础平台；二是实施了信用卡新核心系统、新一代金融市场核心业务系统、智慧托管、智慧风控、智慧财务等重点业务项目；三是积极布局开放银行，对外输出金融服务能力，拓展获客渠道。</w:t>
            </w:r>
          </w:p>
          <w:p w:rsidR="00027F76" w:rsidRPr="00E420B9" w:rsidRDefault="00E420B9" w:rsidP="00E420B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科技创新方面：</w:t>
            </w:r>
            <w:r w:rsidRPr="00E420B9">
              <w:rPr>
                <w:rFonts w:ascii="Arial" w:eastAsia="华文细黑" w:hAnsi="Arial" w:hint="eastAsia"/>
                <w:bCs/>
                <w:sz w:val="21"/>
                <w:szCs w:val="21"/>
              </w:rPr>
              <w:t>持续利用新技术赋能业务，提升客户体验、丰富金融产品、创新业务模式、完善风控体系、优化运营效率、促进智慧管理。</w:t>
            </w:r>
          </w:p>
          <w:p w:rsidR="002B327B" w:rsidRPr="00E25B1B" w:rsidRDefault="002B327B" w:rsidP="002B327B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562FC5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0" w:name="_Toc496018961"/>
            <w:r>
              <w:rPr>
                <w:rFonts w:ascii="Arial" w:eastAsia="华文细黑" w:hAnsi="Arial" w:hint="eastAsia"/>
                <w:sz w:val="21"/>
              </w:rPr>
              <w:t>平安银行目前</w:t>
            </w:r>
            <w:r w:rsidR="00E25B1B">
              <w:rPr>
                <w:rFonts w:ascii="Arial" w:eastAsia="华文细黑" w:hAnsi="Arial" w:hint="eastAsia"/>
                <w:sz w:val="21"/>
              </w:rPr>
              <w:t>资产质量情况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074B2A" w:rsidRPr="00562FC5" w:rsidRDefault="00074B2A" w:rsidP="00562FC5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本行积极应对外部风险、调整业务结构，资产质量指标持续改善。</w:t>
            </w:r>
            <w:r w:rsidRPr="00074B2A">
              <w:rPr>
                <w:rFonts w:ascii="Arial" w:eastAsia="华文细黑" w:hAnsi="Arial"/>
                <w:bCs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年</w:t>
            </w:r>
            <w:r w:rsidR="00027F76">
              <w:rPr>
                <w:rFonts w:ascii="Arial" w:eastAsia="华文细黑" w:hAnsi="Arial" w:hint="eastAsia"/>
                <w:bCs/>
                <w:szCs w:val="21"/>
              </w:rPr>
              <w:t>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月末，本行逾期、逾期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90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天以上贷款余额和占比较上年末均下降，偏离度低于</w:t>
            </w:r>
            <w:r w:rsidRPr="00074B2A">
              <w:rPr>
                <w:rFonts w:ascii="Arial" w:eastAsia="华文细黑" w:hAnsi="Arial"/>
                <w:bCs/>
                <w:szCs w:val="21"/>
              </w:rPr>
              <w:t>1</w:t>
            </w:r>
            <w:r>
              <w:rPr>
                <w:rFonts w:ascii="Arial" w:eastAsia="华文细黑" w:hAnsi="Arial" w:hint="eastAsia"/>
                <w:bCs/>
                <w:szCs w:val="21"/>
              </w:rPr>
              <w:t>；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不良贷款率</w:t>
            </w:r>
            <w:r w:rsidRPr="00074B2A">
              <w:rPr>
                <w:rFonts w:ascii="Arial" w:eastAsia="华文细黑" w:hAnsi="Arial"/>
                <w:bCs/>
                <w:szCs w:val="21"/>
              </w:rPr>
              <w:t>1.68%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，较上年末下降</w:t>
            </w:r>
            <w:r w:rsidRPr="00074B2A">
              <w:rPr>
                <w:rFonts w:ascii="Arial" w:eastAsia="华文细黑" w:hAnsi="Arial"/>
                <w:bCs/>
                <w:szCs w:val="21"/>
              </w:rPr>
              <w:t>0.07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个百分点。</w:t>
            </w:r>
          </w:p>
          <w:bookmarkEnd w:id="1"/>
          <w:bookmarkEnd w:id="2"/>
          <w:bookmarkEnd w:id="3"/>
          <w:bookmarkEnd w:id="10"/>
          <w:p w:rsidR="00AA5A95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607C7E" w:rsidRPr="00E459CC" w:rsidRDefault="00607C7E" w:rsidP="00607C7E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59CC">
              <w:rPr>
                <w:rFonts w:ascii="Arial" w:eastAsia="华文细黑" w:hAnsi="Arial" w:hint="eastAsia"/>
                <w:sz w:val="21"/>
              </w:rPr>
              <w:t>请问</w:t>
            </w:r>
            <w:r w:rsidRPr="00E459CC">
              <w:rPr>
                <w:rFonts w:ascii="Arial" w:eastAsia="华文细黑" w:hAnsi="Arial" w:hint="eastAsia"/>
                <w:sz w:val="21"/>
              </w:rPr>
              <w:t>2019</w:t>
            </w:r>
            <w:r w:rsidRPr="00E459CC">
              <w:rPr>
                <w:rFonts w:ascii="Arial" w:eastAsia="华文细黑" w:hAnsi="Arial" w:hint="eastAsia"/>
                <w:sz w:val="21"/>
              </w:rPr>
              <w:t>年</w:t>
            </w:r>
            <w:r>
              <w:rPr>
                <w:rFonts w:ascii="Arial" w:eastAsia="华文细黑" w:hAnsi="Arial" w:hint="eastAsia"/>
                <w:sz w:val="21"/>
              </w:rPr>
              <w:t>前三季度</w:t>
            </w:r>
            <w:r w:rsidRPr="00E459CC">
              <w:rPr>
                <w:rFonts w:ascii="Arial" w:eastAsia="华文细黑" w:hAnsi="Arial" w:hint="eastAsia"/>
                <w:sz w:val="21"/>
              </w:rPr>
              <w:t>清收效果？怎么做到的？全年是否可以延续去年趋势？</w:t>
            </w:r>
          </w:p>
          <w:p w:rsidR="00607C7E" w:rsidRDefault="00607C7E" w:rsidP="00607C7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本行积极应对外部风险、调整业务结构，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并</w:t>
            </w:r>
            <w:r w:rsidRPr="00E724E3">
              <w:rPr>
                <w:rFonts w:ascii="Arial" w:eastAsia="华文细黑" w:hAnsi="Arial" w:hint="eastAsia"/>
                <w:sz w:val="21"/>
                <w:szCs w:val="21"/>
              </w:rPr>
              <w:t>继续做好存量资产结构调整，加大问题资产清收处置力度。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2019</w:t>
            </w:r>
            <w:r>
              <w:rPr>
                <w:rFonts w:ascii="Arial" w:eastAsia="华文细黑" w:hAnsi="Arial"/>
                <w:sz w:val="21"/>
                <w:szCs w:val="21"/>
              </w:rPr>
              <w:t>年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1-9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，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本行收回不良资产总额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74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亿元、同比增长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8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，其中信贷资产（贷款本金）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亿元；收回的贷款本金中，已核销贷款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95.18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亿元，未核销不良贷款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6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03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亿元；不良资产收回额中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90.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为现金收回，其余为以物抵债等方式收回。</w:t>
            </w:r>
          </w:p>
          <w:p w:rsidR="005D7C17" w:rsidRPr="00607C7E" w:rsidRDefault="005D7C17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bookmarkEnd w:id="4"/>
          <w:bookmarkEnd w:id="5"/>
          <w:bookmarkEnd w:id="6"/>
          <w:bookmarkEnd w:id="7"/>
          <w:bookmarkEnd w:id="8"/>
          <w:bookmarkEnd w:id="9"/>
          <w:p w:rsidR="00027F76" w:rsidRPr="00631CC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贵行发行可转债后，资本充足率情况？</w:t>
            </w:r>
          </w:p>
          <w:p w:rsidR="00027F76" w:rsidRDefault="00027F76" w:rsidP="00027F76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我行于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21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日公开发行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260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亿可转债，并于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18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日成功转股，转股比例高达为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99.9963%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，刷新历史最高记录。截至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月末，资本充足率、一级、核心一级资本充足率将分别为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13.36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10.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54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9.7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5</w:t>
            </w:r>
            <w:r w:rsidRPr="00E724E3">
              <w:rPr>
                <w:rFonts w:ascii="Arial" w:eastAsia="华文细黑" w:hAnsi="Arial"/>
                <w:bCs/>
                <w:sz w:val="21"/>
                <w:szCs w:val="21"/>
              </w:rPr>
              <w:t>%</w:t>
            </w:r>
            <w:r w:rsidRPr="00E724E3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E25B1B" w:rsidRDefault="00E25B1B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27F76" w:rsidRPr="00CA0689" w:rsidRDefault="00027F76" w:rsidP="00027F76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分行和网点的发展情况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027F76" w:rsidRPr="00027F76" w:rsidRDefault="00027F76" w:rsidP="00027F76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本行持续实施网点智能化建设，合理配置网点布局，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截至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月末，本行有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8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7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家分行（含香港分行）、共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1,04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家营业机构。同时，本行持续推广“轻型化、社区化、智能化、多元化”的零售新门店，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2019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9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月末，全国已开业</w:t>
            </w:r>
            <w:r w:rsidRPr="00E724E3">
              <w:rPr>
                <w:rFonts w:ascii="Arial" w:eastAsia="华文细黑" w:hAnsi="Arial" w:cs="Arial"/>
                <w:bCs/>
                <w:sz w:val="21"/>
                <w:szCs w:val="21"/>
              </w:rPr>
              <w:t>245</w:t>
            </w:r>
            <w:r w:rsidRPr="00E724E3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家新门店。</w:t>
            </w:r>
          </w:p>
          <w:p w:rsidR="00E25B1B" w:rsidRPr="00E25B1B" w:rsidRDefault="00E25B1B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07E8A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027F76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三季度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007E8A" w:rsidP="00027F76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27F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027F76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B6" w:rsidRDefault="00E720B6" w:rsidP="00D96584">
      <w:r>
        <w:separator/>
      </w:r>
    </w:p>
  </w:endnote>
  <w:endnote w:type="continuationSeparator" w:id="0">
    <w:p w:rsidR="00E720B6" w:rsidRDefault="00E720B6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B6" w:rsidRDefault="00E720B6" w:rsidP="00D96584">
      <w:r>
        <w:separator/>
      </w:r>
    </w:p>
  </w:footnote>
  <w:footnote w:type="continuationSeparator" w:id="0">
    <w:p w:rsidR="00E720B6" w:rsidRDefault="00E720B6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E5ACD"/>
    <w:multiLevelType w:val="hybridMultilevel"/>
    <w:tmpl w:val="46A223DC"/>
    <w:lvl w:ilvl="0" w:tplc="B76E901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1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6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8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22"/>
  </w:num>
  <w:num w:numId="13">
    <w:abstractNumId w:val="9"/>
  </w:num>
  <w:num w:numId="14">
    <w:abstractNumId w:val="28"/>
  </w:num>
  <w:num w:numId="15">
    <w:abstractNumId w:val="17"/>
  </w:num>
  <w:num w:numId="16">
    <w:abstractNumId w:val="18"/>
  </w:num>
  <w:num w:numId="17">
    <w:abstractNumId w:val="15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1"/>
  </w:num>
  <w:num w:numId="23">
    <w:abstractNumId w:val="12"/>
  </w:num>
  <w:num w:numId="24">
    <w:abstractNumId w:val="25"/>
  </w:num>
  <w:num w:numId="25">
    <w:abstractNumId w:val="27"/>
  </w:num>
  <w:num w:numId="26">
    <w:abstractNumId w:val="14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14"/>
  </w:num>
  <w:num w:numId="32">
    <w:abstractNumId w:val="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07E8A"/>
    <w:rsid w:val="00027F76"/>
    <w:rsid w:val="0005090F"/>
    <w:rsid w:val="00074B2A"/>
    <w:rsid w:val="00083D6A"/>
    <w:rsid w:val="000A2DF8"/>
    <w:rsid w:val="000B3693"/>
    <w:rsid w:val="000B41B6"/>
    <w:rsid w:val="00101C48"/>
    <w:rsid w:val="00130F3C"/>
    <w:rsid w:val="00136591"/>
    <w:rsid w:val="001434EB"/>
    <w:rsid w:val="001504C0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20FC"/>
    <w:rsid w:val="00217D1A"/>
    <w:rsid w:val="002515C0"/>
    <w:rsid w:val="002721F3"/>
    <w:rsid w:val="002A5D9F"/>
    <w:rsid w:val="002B200E"/>
    <w:rsid w:val="002B327B"/>
    <w:rsid w:val="002B4EAA"/>
    <w:rsid w:val="002B5D00"/>
    <w:rsid w:val="002E5EDB"/>
    <w:rsid w:val="003317E5"/>
    <w:rsid w:val="00375010"/>
    <w:rsid w:val="003B107D"/>
    <w:rsid w:val="003B721F"/>
    <w:rsid w:val="003C375D"/>
    <w:rsid w:val="003C42A4"/>
    <w:rsid w:val="003F144D"/>
    <w:rsid w:val="003F79D6"/>
    <w:rsid w:val="00413B4B"/>
    <w:rsid w:val="00416615"/>
    <w:rsid w:val="004353EE"/>
    <w:rsid w:val="0043629D"/>
    <w:rsid w:val="0045059E"/>
    <w:rsid w:val="004800AE"/>
    <w:rsid w:val="0049405C"/>
    <w:rsid w:val="00497C7E"/>
    <w:rsid w:val="004B47B1"/>
    <w:rsid w:val="004F6F03"/>
    <w:rsid w:val="00511122"/>
    <w:rsid w:val="0051123B"/>
    <w:rsid w:val="00511AA8"/>
    <w:rsid w:val="00535D6F"/>
    <w:rsid w:val="005464C3"/>
    <w:rsid w:val="00550FD9"/>
    <w:rsid w:val="00562FC5"/>
    <w:rsid w:val="005B3BAE"/>
    <w:rsid w:val="005D7C17"/>
    <w:rsid w:val="00607C7E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2259D"/>
    <w:rsid w:val="00833823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26424"/>
    <w:rsid w:val="00930952"/>
    <w:rsid w:val="00941F1C"/>
    <w:rsid w:val="00951547"/>
    <w:rsid w:val="009C5679"/>
    <w:rsid w:val="009E293D"/>
    <w:rsid w:val="009F13CD"/>
    <w:rsid w:val="00A06B39"/>
    <w:rsid w:val="00A140B8"/>
    <w:rsid w:val="00A87A56"/>
    <w:rsid w:val="00AA5A95"/>
    <w:rsid w:val="00AB47CE"/>
    <w:rsid w:val="00AB67BB"/>
    <w:rsid w:val="00AD052D"/>
    <w:rsid w:val="00B17ECB"/>
    <w:rsid w:val="00B31C4E"/>
    <w:rsid w:val="00B454CA"/>
    <w:rsid w:val="00B65391"/>
    <w:rsid w:val="00B708D6"/>
    <w:rsid w:val="00B71E2E"/>
    <w:rsid w:val="00B84A84"/>
    <w:rsid w:val="00BB741D"/>
    <w:rsid w:val="00BC3032"/>
    <w:rsid w:val="00BE11BC"/>
    <w:rsid w:val="00BE3743"/>
    <w:rsid w:val="00C0477A"/>
    <w:rsid w:val="00C12E89"/>
    <w:rsid w:val="00C21A8C"/>
    <w:rsid w:val="00C35BCB"/>
    <w:rsid w:val="00C51768"/>
    <w:rsid w:val="00C81677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523F6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2525F"/>
    <w:rsid w:val="00E25B1B"/>
    <w:rsid w:val="00E37317"/>
    <w:rsid w:val="00E420B9"/>
    <w:rsid w:val="00E720B6"/>
    <w:rsid w:val="00E733AB"/>
    <w:rsid w:val="00EB01CC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2625</Characters>
  <Application>Microsoft Office Word</Application>
  <DocSecurity>0</DocSecurity>
  <Lines>21</Lines>
  <Paragraphs>6</Paragraphs>
  <ScaleCrop>false</ScaleCrop>
  <Company>sdb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5</cp:revision>
  <dcterms:created xsi:type="dcterms:W3CDTF">2019-12-25T00:54:00Z</dcterms:created>
  <dcterms:modified xsi:type="dcterms:W3CDTF">2020-01-03T03:09:00Z</dcterms:modified>
</cp:coreProperties>
</file>