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CA0689" w:rsidRDefault="00EE1C10" w:rsidP="00E055AC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CA0689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EE1C10" w:rsidRPr="00CA0689" w:rsidRDefault="003317E5" w:rsidP="00E055AC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CA0689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1CC9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DB35CA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CA0689" w:rsidRDefault="00EE1C10" w:rsidP="005B3BAE">
            <w:pPr>
              <w:tabs>
                <w:tab w:val="left" w:pos="3045"/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</w:p>
          <w:p w:rsidR="00EE1C10" w:rsidRPr="00CA0689" w:rsidRDefault="001F3B5D" w:rsidP="005B3BAE">
            <w:pPr>
              <w:tabs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>（投行会议）</w:t>
            </w:r>
          </w:p>
        </w:tc>
      </w:tr>
      <w:tr w:rsidR="00EE1C10" w:rsidRPr="00CA0689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DB35CA" w:rsidP="00853994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摩根士丹利</w:t>
            </w:r>
            <w:bookmarkStart w:id="0" w:name="_GoBack"/>
            <w:bookmarkEnd w:id="0"/>
          </w:p>
        </w:tc>
      </w:tr>
      <w:tr w:rsidR="00EE1C10" w:rsidRPr="00CA0689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43629D" w:rsidP="00AD4C28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9E293D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55309B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11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5E429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</w:t>
            </w:r>
            <w:r w:rsidR="00AD4C28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CA0689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55309B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新加坡</w:t>
            </w:r>
          </w:p>
        </w:tc>
      </w:tr>
      <w:tr w:rsidR="00EE1C10" w:rsidRPr="00CA0689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55309B" w:rsidP="00A1521F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储量</w:t>
            </w:r>
            <w:r w:rsidR="003B5748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="00631CC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1F3B5D" w:rsidRPr="00CA0689" w:rsidRDefault="001F3B5D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84646C" w:rsidRPr="00B14E42" w:rsidRDefault="0084646C" w:rsidP="0084646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B14E42">
              <w:rPr>
                <w:rFonts w:ascii="Arial" w:eastAsia="华文细黑" w:hAnsi="Arial" w:hint="eastAsia"/>
                <w:sz w:val="21"/>
              </w:rPr>
              <w:t>零售转型已经三年时间，效果显著，未来方向？</w:t>
            </w:r>
          </w:p>
          <w:p w:rsidR="0084646C" w:rsidRPr="00B14E42" w:rsidRDefault="0084646C" w:rsidP="0084646C">
            <w:pPr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B14E42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Pr="00B14E42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B14E42">
              <w:rPr>
                <w:rFonts w:ascii="Arial" w:eastAsia="华文细黑" w:hAnsi="Arial"/>
                <w:bCs/>
                <w:sz w:val="21"/>
                <w:szCs w:val="21"/>
              </w:rPr>
              <w:t>1</w:t>
            </w:r>
            <w:r w:rsidRPr="00B14E42">
              <w:rPr>
                <w:rFonts w:ascii="Arial" w:eastAsia="华文细黑" w:hAnsi="Arial" w:hint="eastAsia"/>
                <w:bCs/>
                <w:sz w:val="21"/>
                <w:szCs w:val="21"/>
              </w:rPr>
              <w:t>-</w:t>
            </w:r>
            <w:r w:rsidRPr="00B14E42">
              <w:rPr>
                <w:rFonts w:ascii="Arial" w:eastAsia="华文细黑" w:hAnsi="Arial"/>
                <w:bCs/>
                <w:sz w:val="21"/>
                <w:szCs w:val="21"/>
              </w:rPr>
              <w:t>9</w:t>
            </w:r>
            <w:r w:rsidRPr="00B14E42">
              <w:rPr>
                <w:rFonts w:ascii="Arial" w:eastAsia="华文细黑" w:hAnsi="Arial" w:hint="eastAsia"/>
                <w:bCs/>
                <w:sz w:val="21"/>
                <w:szCs w:val="21"/>
              </w:rPr>
              <w:t>月，本行持续贯彻“零售突破”的策略方针，深化综合金融优势，构建以</w:t>
            </w:r>
            <w:r w:rsidRPr="00B14E42">
              <w:rPr>
                <w:rFonts w:ascii="Arial" w:eastAsia="华文细黑" w:hAnsi="Arial"/>
                <w:bCs/>
                <w:sz w:val="21"/>
                <w:szCs w:val="21"/>
              </w:rPr>
              <w:t>AI</w:t>
            </w:r>
            <w:r w:rsidRPr="00B14E42">
              <w:rPr>
                <w:rFonts w:ascii="Arial" w:eastAsia="华文细黑" w:hAnsi="Arial" w:hint="eastAsia"/>
                <w:bCs/>
                <w:sz w:val="21"/>
                <w:szCs w:val="21"/>
              </w:rPr>
              <w:t>为内驱的零售“</w:t>
            </w:r>
            <w:r w:rsidRPr="00B14E42">
              <w:rPr>
                <w:rFonts w:ascii="Arial" w:eastAsia="华文细黑" w:hAnsi="Arial"/>
                <w:bCs/>
                <w:sz w:val="21"/>
                <w:szCs w:val="21"/>
              </w:rPr>
              <w:t>3+2+1</w:t>
            </w:r>
            <w:r w:rsidRPr="00B14E42">
              <w:rPr>
                <w:rFonts w:ascii="Arial" w:eastAsia="华文细黑" w:hAnsi="Arial" w:hint="eastAsia"/>
                <w:bCs/>
                <w:sz w:val="21"/>
                <w:szCs w:val="21"/>
              </w:rPr>
              <w:t>”经营策略，发力基础零售、私行财富与消费金融“</w:t>
            </w:r>
            <w:r w:rsidRPr="00B14E42">
              <w:rPr>
                <w:rFonts w:ascii="Arial" w:eastAsia="华文细黑" w:hAnsi="Arial"/>
                <w:bCs/>
                <w:sz w:val="21"/>
                <w:szCs w:val="21"/>
              </w:rPr>
              <w:t>3</w:t>
            </w:r>
            <w:r w:rsidRPr="00B14E42">
              <w:rPr>
                <w:rFonts w:ascii="Arial" w:eastAsia="华文细黑" w:hAnsi="Arial" w:hint="eastAsia"/>
                <w:bCs/>
                <w:sz w:val="21"/>
                <w:szCs w:val="21"/>
              </w:rPr>
              <w:t>大业务模块”，提升风险控制与成本管理“</w:t>
            </w:r>
            <w:r w:rsidRPr="00B14E42">
              <w:rPr>
                <w:rFonts w:ascii="Arial" w:eastAsia="华文细黑" w:hAnsi="Arial"/>
                <w:bCs/>
                <w:sz w:val="21"/>
                <w:szCs w:val="21"/>
              </w:rPr>
              <w:t>2</w:t>
            </w:r>
            <w:r w:rsidRPr="00B14E42">
              <w:rPr>
                <w:rFonts w:ascii="Arial" w:eastAsia="华文细黑" w:hAnsi="Arial" w:hint="eastAsia"/>
                <w:bCs/>
                <w:sz w:val="21"/>
                <w:szCs w:val="21"/>
              </w:rPr>
              <w:t>大核心能力”，推动以</w:t>
            </w:r>
            <w:r w:rsidRPr="00B14E42">
              <w:rPr>
                <w:rFonts w:ascii="Arial" w:eastAsia="华文细黑" w:hAnsi="Arial"/>
                <w:bCs/>
                <w:sz w:val="21"/>
                <w:szCs w:val="21"/>
              </w:rPr>
              <w:t>AI</w:t>
            </w:r>
            <w:r w:rsidRPr="00B14E42">
              <w:rPr>
                <w:rFonts w:ascii="Arial" w:eastAsia="华文细黑" w:hAnsi="Arial" w:hint="eastAsia"/>
                <w:bCs/>
                <w:sz w:val="21"/>
                <w:szCs w:val="21"/>
              </w:rPr>
              <w:t>为核心的“</w:t>
            </w:r>
            <w:r w:rsidRPr="00B14E42">
              <w:rPr>
                <w:rFonts w:ascii="Arial" w:eastAsia="华文细黑" w:hAnsi="Arial"/>
                <w:bCs/>
                <w:sz w:val="21"/>
                <w:szCs w:val="21"/>
              </w:rPr>
              <w:t>1</w:t>
            </w:r>
            <w:r w:rsidRPr="00B14E42">
              <w:rPr>
                <w:rFonts w:ascii="Arial" w:eastAsia="华文细黑" w:hAnsi="Arial" w:hint="eastAsia"/>
                <w:bCs/>
                <w:sz w:val="21"/>
                <w:szCs w:val="21"/>
              </w:rPr>
              <w:t>大平台”持续赋能，各项转型工作稳步推进。</w:t>
            </w:r>
          </w:p>
          <w:p w:rsidR="0084646C" w:rsidRPr="00B14E42" w:rsidRDefault="0084646C" w:rsidP="0084646C">
            <w:pPr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B14E42">
              <w:rPr>
                <w:rFonts w:ascii="Arial" w:eastAsia="华文细黑" w:hAnsi="Arial" w:hint="eastAsia"/>
                <w:bCs/>
                <w:sz w:val="21"/>
                <w:szCs w:val="21"/>
              </w:rPr>
              <w:t>同时，本行零售业务以客户为中心，加快客户体验优化的步伐。通过持续优化</w:t>
            </w:r>
            <w:r w:rsidRPr="00B14E42">
              <w:rPr>
                <w:rFonts w:ascii="Arial" w:eastAsia="华文细黑" w:hAnsi="Arial" w:hint="eastAsia"/>
                <w:bCs/>
                <w:sz w:val="21"/>
                <w:szCs w:val="21"/>
              </w:rPr>
              <w:t>NPS</w:t>
            </w:r>
            <w:r w:rsidRPr="00B14E42">
              <w:rPr>
                <w:rFonts w:ascii="Arial" w:eastAsia="华文细黑" w:hAnsi="Arial" w:hint="eastAsia"/>
                <w:bCs/>
                <w:sz w:val="21"/>
                <w:szCs w:val="21"/>
              </w:rPr>
              <w:t>监控调研系统平台，完善客户</w:t>
            </w:r>
            <w:r w:rsidRPr="00B14E42">
              <w:rPr>
                <w:rFonts w:ascii="Arial" w:eastAsia="华文细黑" w:hAnsi="Arial" w:hint="eastAsia"/>
                <w:bCs/>
                <w:sz w:val="21"/>
                <w:szCs w:val="21"/>
              </w:rPr>
              <w:t>NPS</w:t>
            </w:r>
            <w:r w:rsidRPr="00B14E42">
              <w:rPr>
                <w:rFonts w:ascii="Arial" w:eastAsia="华文细黑" w:hAnsi="Arial" w:hint="eastAsia"/>
                <w:bCs/>
                <w:sz w:val="21"/>
                <w:szCs w:val="21"/>
              </w:rPr>
              <w:t>监测管理，在网点、网上银行、手机银行等各个渠道，实施每日客户体验触点</w:t>
            </w:r>
            <w:r w:rsidRPr="00B14E42">
              <w:rPr>
                <w:rFonts w:ascii="Arial" w:eastAsia="华文细黑" w:hAnsi="Arial" w:hint="eastAsia"/>
                <w:bCs/>
                <w:sz w:val="21"/>
                <w:szCs w:val="21"/>
              </w:rPr>
              <w:t>NPS</w:t>
            </w:r>
            <w:r w:rsidRPr="00B14E42">
              <w:rPr>
                <w:rFonts w:ascii="Arial" w:eastAsia="华文细黑" w:hAnsi="Arial" w:hint="eastAsia"/>
                <w:bCs/>
                <w:sz w:val="21"/>
                <w:szCs w:val="21"/>
              </w:rPr>
              <w:t>调研工作，倾听客户声音，改善体验痛点等举措，为客户打造更智能、更极致的服务。</w:t>
            </w:r>
          </w:p>
          <w:p w:rsidR="0084646C" w:rsidRDefault="0084646C" w:rsidP="003B5748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sz w:val="21"/>
                <w:szCs w:val="21"/>
              </w:rPr>
            </w:pPr>
          </w:p>
          <w:p w:rsidR="001F3B5D" w:rsidRPr="005C32E3" w:rsidRDefault="001F3B5D" w:rsidP="001F3B5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5C32E3">
              <w:rPr>
                <w:rFonts w:ascii="Arial" w:eastAsia="华文细黑" w:hAnsi="Arial" w:hint="eastAsia"/>
                <w:sz w:val="21"/>
              </w:rPr>
              <w:t>科技的成果的具体案例？</w:t>
            </w:r>
          </w:p>
          <w:p w:rsidR="001F3B5D" w:rsidRPr="005C32E3" w:rsidRDefault="001F3B5D" w:rsidP="001F3B5D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1-9</w:t>
            </w: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月，本行围绕全面数据化经营转型，大力推进数据中台、</w:t>
            </w: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AI</w:t>
            </w: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平台、数据治理等项目群建设。数据中台方面，启动了全行统一数据指标平台、数据服务平台、以及客户、产品、人员、渠道、案例等“五大库”建设。</w:t>
            </w:r>
            <w:r w:rsidRPr="005C32E3">
              <w:rPr>
                <w:rFonts w:ascii="Arial" w:eastAsia="华文细黑" w:hAnsi="Arial"/>
                <w:sz w:val="21"/>
                <w:szCs w:val="21"/>
              </w:rPr>
              <w:t>AI</w:t>
            </w: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平台方面，</w:t>
            </w:r>
            <w:r w:rsidRPr="005C32E3">
              <w:rPr>
                <w:rFonts w:ascii="Arial" w:eastAsia="华文细黑" w:hAnsi="Arial"/>
                <w:sz w:val="21"/>
                <w:szCs w:val="21"/>
              </w:rPr>
              <w:t>2019</w:t>
            </w: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5C32E3">
              <w:rPr>
                <w:rFonts w:ascii="Arial" w:eastAsia="华文细黑" w:hAnsi="Arial"/>
                <w:sz w:val="21"/>
                <w:szCs w:val="21"/>
              </w:rPr>
              <w:t>9</w:t>
            </w: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月末，</w:t>
            </w: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11</w:t>
            </w: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个</w:t>
            </w: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AI</w:t>
            </w: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中台项目已经陆续完</w:t>
            </w:r>
            <w:r w:rsidR="0084646C">
              <w:rPr>
                <w:rFonts w:ascii="Arial" w:eastAsia="华文细黑" w:hAnsi="Arial" w:hint="eastAsia"/>
                <w:sz w:val="21"/>
                <w:szCs w:val="21"/>
              </w:rPr>
              <w:t>成投产，为前台应用和业务团队提供支撑和赋能，促进产能效率的提高。</w:t>
            </w: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例如，在口袋银行</w:t>
            </w: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APP</w:t>
            </w: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和信用卡首页，通过智能推荐平台进行个性化的精准营销广告投放，其转化效果比人工投放提升超过</w:t>
            </w: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50%</w:t>
            </w:r>
            <w:r w:rsidRPr="005C32E3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3B5748" w:rsidRDefault="003B5748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1F3B5D" w:rsidRPr="00E420B9" w:rsidRDefault="001F3B5D" w:rsidP="001F3B5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E420B9">
              <w:rPr>
                <w:rFonts w:ascii="Arial" w:eastAsia="华文细黑" w:hAnsi="Arial" w:hint="eastAsia"/>
                <w:sz w:val="21"/>
              </w:rPr>
              <w:t>科技的投入和成果如何？</w:t>
            </w:r>
          </w:p>
          <w:p w:rsidR="001F3B5D" w:rsidRDefault="001F3B5D" w:rsidP="001F3B5D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本行将“科技引领”作为全行首要发展战略方针。</w:t>
            </w:r>
          </w:p>
          <w:p w:rsidR="001F3B5D" w:rsidRDefault="001F3B5D" w:rsidP="001F3B5D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科技投入方面：</w:t>
            </w:r>
            <w:r w:rsidRPr="00E420B9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年上半年科技投入继续大幅增加，</w:t>
            </w:r>
            <w:r w:rsidRPr="00E420B9">
              <w:rPr>
                <w:rFonts w:ascii="Arial" w:eastAsia="华文细黑" w:hAnsi="Arial"/>
                <w:bCs/>
                <w:sz w:val="21"/>
                <w:szCs w:val="21"/>
              </w:rPr>
              <w:t>IT</w:t>
            </w: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资本性支出及费用合计同比增长</w:t>
            </w: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36.9</w:t>
            </w:r>
            <w:r w:rsidRPr="00E420B9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p w:rsidR="001F3B5D" w:rsidRDefault="001F3B5D" w:rsidP="001F3B5D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科技赋能方面：</w:t>
            </w: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一是聚焦平台能力建设，打造了</w:t>
            </w:r>
            <w:r w:rsidRPr="00E420B9">
              <w:rPr>
                <w:rFonts w:ascii="Arial" w:eastAsia="华文细黑" w:hAnsi="Arial"/>
                <w:bCs/>
                <w:sz w:val="21"/>
                <w:szCs w:val="21"/>
              </w:rPr>
              <w:t>AI</w:t>
            </w: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中台、银行私有云平台、数据中台、分布式</w:t>
            </w:r>
            <w:r w:rsidRPr="00E420B9">
              <w:rPr>
                <w:rFonts w:ascii="Arial" w:eastAsia="华文细黑" w:hAnsi="Arial"/>
                <w:bCs/>
                <w:sz w:val="21"/>
                <w:szCs w:val="21"/>
              </w:rPr>
              <w:t>PaaS</w:t>
            </w: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云平台、项目可视化平台等</w:t>
            </w: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lastRenderedPageBreak/>
              <w:t>基础平台；二是实施了信用卡新核心系统、新一代金融市场核心业务系统、智慧托管、智慧风控、智慧财务等重点业务项目；三是积极布局开放银行，对外输出金融服务能力，拓展获客渠道。</w:t>
            </w:r>
          </w:p>
          <w:p w:rsidR="001F3B5D" w:rsidRPr="00E420B9" w:rsidRDefault="001F3B5D" w:rsidP="001F3B5D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科技创新方面：</w:t>
            </w: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持续利用新技术赋能业务，提升客户体验、丰富金融产品、创新业务模式、完善风控体系、优化运营效率、促进智慧管理。</w:t>
            </w:r>
          </w:p>
          <w:p w:rsidR="001F3B5D" w:rsidRDefault="001F3B5D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84646C" w:rsidRPr="0084646C" w:rsidRDefault="0084646C" w:rsidP="0084646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84646C">
              <w:rPr>
                <w:rFonts w:ascii="Arial" w:eastAsia="华文细黑" w:hAnsi="Arial" w:hint="eastAsia"/>
                <w:sz w:val="21"/>
              </w:rPr>
              <w:t>零售方面的科技投入情况？</w:t>
            </w:r>
          </w:p>
          <w:p w:rsidR="0084646C" w:rsidRPr="0084646C" w:rsidRDefault="0084646C" w:rsidP="0084646C">
            <w:pPr>
              <w:pStyle w:val="3"/>
              <w:numPr>
                <w:ilvl w:val="0"/>
                <w:numId w:val="0"/>
              </w:numPr>
              <w:ind w:firstLineChars="200" w:firstLine="400"/>
              <w:outlineLvl w:val="2"/>
              <w:rPr>
                <w:rFonts w:ascii="Arial" w:eastAsia="华文细黑" w:hAnsi="Arial"/>
                <w:b w:val="0"/>
              </w:rPr>
            </w:pPr>
            <w:r w:rsidRPr="0084646C">
              <w:rPr>
                <w:rFonts w:ascii="Arial" w:eastAsia="华文细黑" w:hAnsi="Arial"/>
                <w:b w:val="0"/>
              </w:rPr>
              <w:t>2019</w:t>
            </w:r>
            <w:r w:rsidRPr="0084646C">
              <w:rPr>
                <w:rFonts w:ascii="Arial" w:eastAsia="华文细黑" w:hAnsi="Arial" w:hint="eastAsia"/>
                <w:b w:val="0"/>
              </w:rPr>
              <w:t>年</w:t>
            </w:r>
            <w:r w:rsidRPr="0084646C">
              <w:rPr>
                <w:rFonts w:ascii="Arial" w:eastAsia="华文细黑" w:hAnsi="Arial"/>
                <w:b w:val="0"/>
              </w:rPr>
              <w:t>1-9</w:t>
            </w:r>
            <w:r w:rsidRPr="0084646C">
              <w:rPr>
                <w:rFonts w:ascii="Arial" w:eastAsia="华文细黑" w:hAnsi="Arial" w:hint="eastAsia"/>
                <w:b w:val="0"/>
              </w:rPr>
              <w:t>月，零售已投入</w:t>
            </w:r>
            <w:r w:rsidRPr="0084646C">
              <w:rPr>
                <w:rFonts w:ascii="Arial" w:eastAsia="华文细黑" w:hAnsi="Arial"/>
                <w:b w:val="0"/>
              </w:rPr>
              <w:t>11.</w:t>
            </w:r>
            <w:r w:rsidRPr="0084646C">
              <w:rPr>
                <w:rFonts w:ascii="Arial" w:eastAsia="华文细黑" w:hAnsi="Arial" w:hint="eastAsia"/>
                <w:b w:val="0"/>
              </w:rPr>
              <w:t>99</w:t>
            </w:r>
            <w:r w:rsidRPr="0084646C">
              <w:rPr>
                <w:rFonts w:ascii="Arial" w:eastAsia="华文细黑" w:hAnsi="Arial" w:hint="eastAsia"/>
                <w:b w:val="0"/>
              </w:rPr>
              <w:t>亿元用于科技及创新，运用科技力量不断升级传统业务、创新业务模式、提升服务体验，保持持续增长动能和成本优化能力</w:t>
            </w:r>
          </w:p>
          <w:p w:rsidR="003B5748" w:rsidRDefault="003B5748" w:rsidP="003B5748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84646C" w:rsidRDefault="0084646C" w:rsidP="00A84DC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关于平台赋能的情况？</w:t>
            </w:r>
          </w:p>
          <w:p w:rsidR="0084646C" w:rsidRPr="00A84DCD" w:rsidRDefault="00A84DCD" w:rsidP="00A84DCD">
            <w:pPr>
              <w:pStyle w:val="3"/>
              <w:numPr>
                <w:ilvl w:val="0"/>
                <w:numId w:val="0"/>
              </w:numPr>
              <w:ind w:firstLineChars="200" w:firstLine="400"/>
              <w:outlineLvl w:val="2"/>
              <w:rPr>
                <w:rFonts w:ascii="Arial" w:eastAsia="华文细黑" w:hAnsi="Arial"/>
                <w:b w:val="0"/>
              </w:rPr>
            </w:pPr>
            <w:r w:rsidRPr="00A84DCD">
              <w:rPr>
                <w:rFonts w:ascii="Arial" w:eastAsia="华文细黑" w:hAnsi="Arial"/>
                <w:b w:val="0"/>
              </w:rPr>
              <w:t>2019</w:t>
            </w:r>
            <w:r w:rsidRPr="00A84DCD">
              <w:rPr>
                <w:rFonts w:ascii="Arial" w:eastAsia="华文细黑" w:hAnsi="Arial" w:hint="eastAsia"/>
                <w:b w:val="0"/>
              </w:rPr>
              <w:t>年，本行零售推行全面</w:t>
            </w:r>
            <w:r w:rsidRPr="00A84DCD">
              <w:rPr>
                <w:rFonts w:ascii="Arial" w:eastAsia="华文细黑" w:hAnsi="Arial"/>
                <w:b w:val="0"/>
              </w:rPr>
              <w:t>AI</w:t>
            </w:r>
            <w:r w:rsidRPr="00A84DCD">
              <w:rPr>
                <w:rFonts w:ascii="Arial" w:eastAsia="华文细黑" w:hAnsi="Arial" w:hint="eastAsia"/>
                <w:b w:val="0"/>
              </w:rPr>
              <w:t>化，打造</w:t>
            </w:r>
            <w:r w:rsidRPr="00A84DCD">
              <w:rPr>
                <w:rFonts w:ascii="Arial" w:eastAsia="华文细黑" w:hAnsi="Arial" w:hint="eastAsia"/>
                <w:b w:val="0"/>
              </w:rPr>
              <w:t>AI Bank</w:t>
            </w:r>
            <w:r w:rsidRPr="00A84DCD">
              <w:rPr>
                <w:rFonts w:ascii="Arial" w:eastAsia="华文细黑" w:hAnsi="Arial" w:hint="eastAsia"/>
                <w:b w:val="0"/>
              </w:rPr>
              <w:t>，通过科技手段将零售业务在经营、服务、管理方面所需的能力标准化、系统化、智能化，并赋能给客户、员工以及第三方合作伙伴。同时，通过整合</w:t>
            </w:r>
            <w:r w:rsidRPr="00A84DCD">
              <w:rPr>
                <w:rFonts w:ascii="Arial" w:eastAsia="华文细黑" w:hAnsi="Arial" w:hint="eastAsia"/>
                <w:b w:val="0"/>
              </w:rPr>
              <w:t>AI</w:t>
            </w:r>
            <w:r w:rsidRPr="00A84DCD">
              <w:rPr>
                <w:rFonts w:ascii="Arial" w:eastAsia="华文细黑" w:hAnsi="Arial" w:hint="eastAsia"/>
                <w:b w:val="0"/>
              </w:rPr>
              <w:t>中台涵盖的前沿科技可复用、可共享的通用能力，实现对前台场景的敏捷支持、快速上线，目前已覆盖业务场景上百个，同时仍在不断敏捷迭代</w:t>
            </w:r>
            <w:r>
              <w:rPr>
                <w:rFonts w:ascii="Arial" w:eastAsia="华文细黑" w:hAnsi="Arial" w:hint="eastAsia"/>
                <w:b w:val="0"/>
              </w:rPr>
              <w:t>。</w:t>
            </w:r>
          </w:p>
          <w:p w:rsidR="0084646C" w:rsidRDefault="0084646C" w:rsidP="003B5748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A84DCD" w:rsidRDefault="00A84DCD" w:rsidP="003B5748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A84DCD" w:rsidRDefault="00A84DCD" w:rsidP="00A84DC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关于开放银行如何实现？</w:t>
            </w:r>
          </w:p>
          <w:p w:rsidR="00A84DCD" w:rsidRPr="00A84DCD" w:rsidRDefault="00A84DCD" w:rsidP="00A84DCD">
            <w:pPr>
              <w:pStyle w:val="3"/>
              <w:numPr>
                <w:ilvl w:val="0"/>
                <w:numId w:val="0"/>
              </w:numPr>
              <w:ind w:firstLineChars="200" w:firstLine="400"/>
              <w:outlineLvl w:val="2"/>
              <w:rPr>
                <w:rFonts w:ascii="Arial" w:eastAsia="华文细黑" w:hAnsi="Arial"/>
                <w:b w:val="0"/>
              </w:rPr>
            </w:pPr>
            <w:r w:rsidRPr="00A84DCD">
              <w:rPr>
                <w:rFonts w:ascii="Arial" w:eastAsia="华文细黑" w:hAnsi="Arial" w:hint="eastAsia"/>
                <w:b w:val="0"/>
              </w:rPr>
              <w:t>开放银行作为本行深耕金融科技的重要方向在持续推进中。本行开放银行以“让银行服务无处不在”为愿景，围绕“能力开放”、“流量开放”、“经营开放”三个目标，分阶段实现。现阶段主要是聚焦“能力开放”，打造开放银行平台，目前已与多家互联网头部公司开展相关合作。</w:t>
            </w:r>
          </w:p>
          <w:p w:rsidR="00A84DCD" w:rsidRPr="00A84DCD" w:rsidRDefault="00A84DCD" w:rsidP="003B5748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DD684A" w:rsidRPr="00CA0689" w:rsidRDefault="00DD684A" w:rsidP="00DD684A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私行及财富业务发展情况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DD684A" w:rsidRPr="00DD684A" w:rsidRDefault="00065AA6" w:rsidP="00E724E3">
            <w:pPr>
              <w:ind w:firstLineChars="250" w:firstLine="525"/>
              <w:rPr>
                <w:rFonts w:ascii="Arial" w:eastAsia="华文细黑" w:hAnsi="Arial"/>
                <w:sz w:val="21"/>
                <w:szCs w:val="21"/>
              </w:rPr>
            </w:pP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月末，本行财富客户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74.84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万户，较上年末增长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26.5%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；私行达标客户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4.09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万户，较上年末增长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36.2%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，私行达标客户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AUM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规模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6,693.76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亿元，较上年末增长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46.2%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。本行持续强化落实经营转型策略。同时，充分利用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AI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科技力量和平安集团综合金融模式的优势，打造了一支专业化、智能化的投顾团队，推出了智能投顾、智能投研服务。在经营机制方面，打造了“分支行”、“私行中心”、“综合金融”三大业务模式，以全面数据化经营为抓手，强化私行客户经营能力和资产配置能力。</w:t>
            </w:r>
          </w:p>
          <w:p w:rsidR="00C87159" w:rsidRDefault="00C87159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  <w:bookmarkStart w:id="1" w:name="_Toc464590920"/>
            <w:bookmarkStart w:id="2" w:name="_Toc464720594"/>
            <w:bookmarkStart w:id="3" w:name="_Toc448833292"/>
            <w:bookmarkStart w:id="4" w:name="_Toc464590889"/>
            <w:bookmarkStart w:id="5" w:name="_Toc464720557"/>
            <w:bookmarkStart w:id="6" w:name="_Toc448833286"/>
            <w:bookmarkStart w:id="7" w:name="_Toc458425958"/>
            <w:bookmarkStart w:id="8" w:name="_Toc464590895"/>
            <w:bookmarkStart w:id="9" w:name="_Toc464720571"/>
          </w:p>
          <w:p w:rsidR="001F3B5D" w:rsidRPr="00CA0689" w:rsidRDefault="001F3B5D" w:rsidP="001F3B5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综合金融发展情况？</w:t>
            </w:r>
          </w:p>
          <w:p w:rsidR="001F3B5D" w:rsidRDefault="001F3B5D" w:rsidP="001F3B5D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1-9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月，本行通过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MGM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模式获客（不含信用卡）净增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190.51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万户，占零售整体净增客户（不含信用卡）的比例为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29.3%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，其中财富客户净增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6.21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万户，占整体净增财富客户的比例为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39.6%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；管理零售客户资产（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AUM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）余额净增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1,720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亿元，占零售整体净增客户资产余额的比例为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37.8%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MGM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模式发放“新一贷”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477.14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亿元，占“新一贷”整体发放的比例为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58.2%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；发放汽融贷款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394.97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亿元，占汽融贷款整体发放的比例为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36.6%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。信用卡通过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MGM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模式发卡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369.73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万张，在新增发卡量中占比为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34.1%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。本行零售全渠道代销集团保险累计实现非利息净收入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23.18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亿元，同比增长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lastRenderedPageBreak/>
              <w:t>24.5%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p w:rsidR="001F3B5D" w:rsidRDefault="001F3B5D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84646C" w:rsidRDefault="0084646C" w:rsidP="0084646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零售业务风险控制情况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84646C" w:rsidRPr="00A1521F" w:rsidRDefault="0084646C" w:rsidP="0084646C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0D7E54">
              <w:rPr>
                <w:rFonts w:ascii="Arial" w:eastAsia="华文细黑" w:hAnsi="Arial" w:hint="eastAsia"/>
                <w:bCs/>
                <w:sz w:val="21"/>
                <w:szCs w:val="21"/>
              </w:rPr>
              <w:t>9</w:t>
            </w:r>
            <w:r w:rsidRPr="000D7E54">
              <w:rPr>
                <w:rFonts w:ascii="Arial" w:eastAsia="华文细黑" w:hAnsi="Arial" w:hint="eastAsia"/>
                <w:bCs/>
                <w:sz w:val="21"/>
                <w:szCs w:val="21"/>
              </w:rPr>
              <w:t>月末，本行个人贷款不良率</w:t>
            </w:r>
            <w:r w:rsidRPr="000D7E54">
              <w:rPr>
                <w:rFonts w:ascii="Arial" w:eastAsia="华文细黑" w:hAnsi="Arial" w:hint="eastAsia"/>
                <w:bCs/>
                <w:sz w:val="21"/>
                <w:szCs w:val="21"/>
              </w:rPr>
              <w:t>1.07%</w:t>
            </w:r>
            <w:r w:rsidRPr="000D7E54">
              <w:rPr>
                <w:rFonts w:ascii="Arial" w:eastAsia="华文细黑" w:hAnsi="Arial" w:hint="eastAsia"/>
                <w:bCs/>
                <w:sz w:val="21"/>
                <w:szCs w:val="21"/>
              </w:rPr>
              <w:t>，较上年末持平。本行自</w:t>
            </w:r>
            <w:r w:rsidRPr="000D7E54">
              <w:rPr>
                <w:rFonts w:ascii="Arial" w:eastAsia="华文细黑" w:hAnsi="Arial"/>
                <w:bCs/>
                <w:sz w:val="21"/>
                <w:szCs w:val="21"/>
              </w:rPr>
              <w:t>2017</w:t>
            </w:r>
            <w:r w:rsidRPr="000D7E54">
              <w:rPr>
                <w:rFonts w:ascii="Arial" w:eastAsia="华文细黑" w:hAnsi="Arial" w:hint="eastAsia"/>
                <w:bCs/>
                <w:sz w:val="21"/>
                <w:szCs w:val="21"/>
              </w:rPr>
              <w:t>年底开始提前进行风险政策调整，重点防范共债风险，同时针对共债、高负债及高风险地区客户采取额度管控、谨慎授信等措施，有效控制并降低了高风险客户占比，新发放业务的资产质量稳定向好。在零售风险管理体系建设方面，本行重点推进以全面</w:t>
            </w:r>
            <w:r w:rsidRPr="000D7E54">
              <w:rPr>
                <w:rFonts w:ascii="Arial" w:eastAsia="华文细黑" w:hAnsi="Arial" w:hint="eastAsia"/>
                <w:bCs/>
                <w:sz w:val="21"/>
                <w:szCs w:val="21"/>
              </w:rPr>
              <w:t>AI</w:t>
            </w:r>
            <w:r w:rsidRPr="000D7E54">
              <w:rPr>
                <w:rFonts w:ascii="Arial" w:eastAsia="华文细黑" w:hAnsi="Arial" w:hint="eastAsia"/>
                <w:bCs/>
                <w:sz w:val="21"/>
                <w:szCs w:val="21"/>
              </w:rPr>
              <w:t>和全面价值管理为基础的“风险</w:t>
            </w:r>
            <w:r w:rsidRPr="000D7E54">
              <w:rPr>
                <w:rFonts w:ascii="Arial" w:eastAsia="华文细黑" w:hAnsi="Arial" w:hint="eastAsia"/>
                <w:bCs/>
                <w:sz w:val="21"/>
                <w:szCs w:val="21"/>
              </w:rPr>
              <w:t>3.0</w:t>
            </w:r>
            <w:r w:rsidRPr="000D7E54">
              <w:rPr>
                <w:rFonts w:ascii="Arial" w:eastAsia="华文细黑" w:hAnsi="Arial" w:hint="eastAsia"/>
                <w:bCs/>
                <w:sz w:val="21"/>
                <w:szCs w:val="21"/>
              </w:rPr>
              <w:t>”新一代智能风险管理体系建设，搭建贷前、贷中、贷后</w:t>
            </w:r>
            <w:r w:rsidRPr="000D7E54">
              <w:rPr>
                <w:rFonts w:ascii="Arial" w:eastAsia="华文细黑" w:hAnsi="Arial" w:hint="eastAsia"/>
                <w:bCs/>
                <w:sz w:val="21"/>
                <w:szCs w:val="21"/>
              </w:rPr>
              <w:t>AI</w:t>
            </w:r>
            <w:r w:rsidRPr="000D7E54">
              <w:rPr>
                <w:rFonts w:ascii="Arial" w:eastAsia="华文细黑" w:hAnsi="Arial" w:hint="eastAsia"/>
                <w:bCs/>
                <w:sz w:val="21"/>
                <w:szCs w:val="21"/>
              </w:rPr>
              <w:t>风控机器人，打通个贷、汽融、信用卡等产品的风险管理系统，实现风险前、中、后业务全面</w:t>
            </w:r>
            <w:r w:rsidRPr="000D7E54">
              <w:rPr>
                <w:rFonts w:ascii="Arial" w:eastAsia="华文细黑" w:hAnsi="Arial" w:hint="eastAsia"/>
                <w:bCs/>
                <w:sz w:val="21"/>
                <w:szCs w:val="21"/>
              </w:rPr>
              <w:t>AI</w:t>
            </w:r>
            <w:r w:rsidRPr="000D7E54">
              <w:rPr>
                <w:rFonts w:ascii="Arial" w:eastAsia="华文细黑" w:hAnsi="Arial" w:hint="eastAsia"/>
                <w:bCs/>
                <w:sz w:val="21"/>
                <w:szCs w:val="21"/>
              </w:rPr>
              <w:t>化、统一化的客户管理。</w:t>
            </w:r>
          </w:p>
          <w:p w:rsidR="0084646C" w:rsidRPr="00667200" w:rsidRDefault="0084646C" w:rsidP="0084646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84646C" w:rsidRPr="00471475" w:rsidRDefault="0084646C" w:rsidP="0084646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信用卡业务发展情况</w:t>
            </w:r>
            <w:r w:rsidRPr="00471475">
              <w:rPr>
                <w:rFonts w:ascii="Arial" w:eastAsia="华文细黑" w:hAnsi="Arial" w:hint="eastAsia"/>
                <w:sz w:val="21"/>
              </w:rPr>
              <w:t>？</w:t>
            </w:r>
          </w:p>
          <w:p w:rsidR="0084646C" w:rsidRDefault="0084646C" w:rsidP="00A84DCD">
            <w:pPr>
              <w:pStyle w:val="3"/>
              <w:numPr>
                <w:ilvl w:val="0"/>
                <w:numId w:val="0"/>
              </w:numPr>
              <w:ind w:firstLineChars="200" w:firstLine="420"/>
              <w:jc w:val="left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0D7E54">
              <w:rPr>
                <w:rFonts w:ascii="Arial" w:eastAsia="华文细黑" w:hAnsi="Arial" w:hint="eastAsia"/>
                <w:b w:val="0"/>
                <w:sz w:val="21"/>
              </w:rPr>
              <w:t>本行信用卡业务继续保持稳健增长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，截至</w:t>
            </w:r>
            <w:r w:rsidRPr="000D7E54">
              <w:rPr>
                <w:rFonts w:ascii="Arial" w:eastAsia="华文细黑" w:hAnsi="Arial"/>
                <w:b w:val="0"/>
                <w:sz w:val="21"/>
              </w:rPr>
              <w:t>9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月末：</w:t>
            </w:r>
            <w:r w:rsidRPr="000D7E54">
              <w:rPr>
                <w:rFonts w:ascii="Arial" w:eastAsia="华文细黑" w:hAnsi="Arial" w:hint="eastAsia"/>
                <w:b w:val="0"/>
                <w:sz w:val="21"/>
              </w:rPr>
              <w:t>信用卡流通卡量</w:t>
            </w:r>
            <w:r w:rsidRPr="000D7E54">
              <w:rPr>
                <w:rFonts w:ascii="Arial" w:eastAsia="华文细黑" w:hAnsi="Arial"/>
                <w:b w:val="0"/>
                <w:sz w:val="21"/>
              </w:rPr>
              <w:t>5,8</w:t>
            </w:r>
            <w:r w:rsidRPr="000D7E54">
              <w:rPr>
                <w:rFonts w:ascii="Arial" w:eastAsia="华文细黑" w:hAnsi="Arial" w:hint="eastAsia"/>
                <w:b w:val="0"/>
                <w:sz w:val="21"/>
              </w:rPr>
              <w:t>39</w:t>
            </w:r>
            <w:r w:rsidRPr="000D7E54">
              <w:rPr>
                <w:rFonts w:ascii="Arial" w:eastAsia="华文细黑" w:hAnsi="Arial"/>
                <w:b w:val="0"/>
                <w:sz w:val="21"/>
              </w:rPr>
              <w:t>.</w:t>
            </w:r>
            <w:r w:rsidRPr="000D7E54">
              <w:rPr>
                <w:rFonts w:ascii="Arial" w:eastAsia="华文细黑" w:hAnsi="Arial" w:hint="eastAsia"/>
                <w:b w:val="0"/>
                <w:sz w:val="21"/>
              </w:rPr>
              <w:t>38</w:t>
            </w:r>
            <w:r w:rsidRPr="000D7E54">
              <w:rPr>
                <w:rFonts w:ascii="Arial" w:eastAsia="华文细黑" w:hAnsi="Arial" w:hint="eastAsia"/>
                <w:b w:val="0"/>
                <w:sz w:val="21"/>
              </w:rPr>
              <w:t>万张，贷款余额</w:t>
            </w:r>
            <w:r w:rsidRPr="000D7E54">
              <w:rPr>
                <w:rFonts w:ascii="Arial" w:eastAsia="华文细黑" w:hAnsi="Arial"/>
                <w:b w:val="0"/>
                <w:sz w:val="21"/>
              </w:rPr>
              <w:t>5,1</w:t>
            </w:r>
            <w:r w:rsidRPr="000D7E54">
              <w:rPr>
                <w:rFonts w:ascii="Arial" w:eastAsia="华文细黑" w:hAnsi="Arial" w:hint="eastAsia"/>
                <w:b w:val="0"/>
                <w:sz w:val="21"/>
              </w:rPr>
              <w:t>89</w:t>
            </w:r>
            <w:r w:rsidRPr="000D7E54">
              <w:rPr>
                <w:rFonts w:ascii="Arial" w:eastAsia="华文细黑" w:hAnsi="Arial"/>
                <w:b w:val="0"/>
                <w:sz w:val="21"/>
              </w:rPr>
              <w:t>.</w:t>
            </w:r>
            <w:r w:rsidRPr="000D7E54">
              <w:rPr>
                <w:rFonts w:ascii="Arial" w:eastAsia="华文细黑" w:hAnsi="Arial" w:hint="eastAsia"/>
                <w:b w:val="0"/>
                <w:sz w:val="21"/>
              </w:rPr>
              <w:t>93</w:t>
            </w:r>
            <w:r w:rsidR="00A84DCD">
              <w:rPr>
                <w:rFonts w:ascii="Arial" w:eastAsia="华文细黑" w:hAnsi="Arial" w:hint="eastAsia"/>
                <w:b w:val="0"/>
                <w:sz w:val="21"/>
              </w:rPr>
              <w:t>亿元。</w:t>
            </w:r>
          </w:p>
          <w:p w:rsidR="0084646C" w:rsidRPr="00471475" w:rsidRDefault="0084646C" w:rsidP="0084646C">
            <w:pPr>
              <w:pStyle w:val="3"/>
              <w:numPr>
                <w:ilvl w:val="0"/>
                <w:numId w:val="0"/>
              </w:numPr>
              <w:ind w:firstLineChars="200" w:firstLine="420"/>
              <w:jc w:val="left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0D7E54">
              <w:rPr>
                <w:rFonts w:ascii="Arial" w:eastAsia="华文细黑" w:hAnsi="Arial" w:hint="eastAsia"/>
                <w:b w:val="0"/>
                <w:sz w:val="21"/>
              </w:rPr>
              <w:t>本行信用卡继续依托金融科技深入打造“快、易、好”极致客户体验。</w:t>
            </w:r>
            <w:r w:rsidRPr="000D7E54">
              <w:rPr>
                <w:rFonts w:ascii="Arial" w:eastAsia="华文细黑" w:hAnsi="Arial"/>
                <w:b w:val="0"/>
                <w:sz w:val="21"/>
              </w:rPr>
              <w:t>2019</w:t>
            </w:r>
            <w:r w:rsidRPr="000D7E54">
              <w:rPr>
                <w:rFonts w:ascii="Arial" w:eastAsia="华文细黑" w:hAnsi="Arial" w:hint="eastAsia"/>
                <w:b w:val="0"/>
                <w:sz w:val="21"/>
              </w:rPr>
              <w:t>年三季度，平安信用卡与</w:t>
            </w:r>
            <w:r w:rsidRPr="000D7E54">
              <w:rPr>
                <w:rFonts w:ascii="Arial" w:eastAsia="华文细黑" w:hAnsi="Arial"/>
                <w:b w:val="0"/>
                <w:sz w:val="21"/>
              </w:rPr>
              <w:t>Costco</w:t>
            </w:r>
            <w:r w:rsidRPr="000D7E54">
              <w:rPr>
                <w:rFonts w:ascii="Arial" w:eastAsia="华文细黑" w:hAnsi="Arial"/>
                <w:b w:val="0"/>
                <w:sz w:val="21"/>
              </w:rPr>
              <w:t>强强联手，开展</w:t>
            </w:r>
            <w:r w:rsidRPr="000D7E54">
              <w:rPr>
                <w:rFonts w:ascii="Arial" w:eastAsia="华文细黑" w:hAnsi="Arial" w:hint="eastAsia"/>
                <w:b w:val="0"/>
                <w:sz w:val="21"/>
              </w:rPr>
              <w:t>全方位的独家战略合作，并推出“平安信用卡</w:t>
            </w:r>
            <w:r w:rsidRPr="000D7E54">
              <w:rPr>
                <w:rFonts w:ascii="Arial" w:eastAsia="华文细黑" w:hAnsi="Arial"/>
                <w:b w:val="0"/>
                <w:sz w:val="21"/>
              </w:rPr>
              <w:t>+</w:t>
            </w:r>
            <w:r w:rsidRPr="000D7E54">
              <w:rPr>
                <w:rFonts w:ascii="Arial" w:eastAsia="华文细黑" w:hAnsi="Arial" w:hint="eastAsia"/>
                <w:b w:val="0"/>
                <w:sz w:val="21"/>
              </w:rPr>
              <w:t>会员卡”双卡合一</w:t>
            </w:r>
            <w:r w:rsidRPr="000D7E54">
              <w:rPr>
                <w:rFonts w:ascii="Arial" w:eastAsia="华文细黑" w:hAnsi="Arial"/>
                <w:b w:val="0"/>
                <w:sz w:val="21"/>
              </w:rPr>
              <w:t>Costco</w:t>
            </w:r>
            <w:r w:rsidRPr="000D7E54">
              <w:rPr>
                <w:rFonts w:ascii="Arial" w:eastAsia="华文细黑" w:hAnsi="Arial" w:hint="eastAsia"/>
                <w:b w:val="0"/>
                <w:sz w:val="21"/>
              </w:rPr>
              <w:t>联名信用卡，实现了从前端购物消费到后台金融服务的无缝衔接，为持卡客户提供“一站式”智能综合金融服务。</w:t>
            </w:r>
          </w:p>
          <w:p w:rsidR="0084646C" w:rsidRPr="0084646C" w:rsidRDefault="0084646C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84646C" w:rsidRPr="00CA0689" w:rsidRDefault="0084646C" w:rsidP="0084646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汽车金融的新策略</w:t>
            </w:r>
            <w:r w:rsidRPr="00C87159">
              <w:rPr>
                <w:rFonts w:ascii="Arial" w:eastAsia="华文细黑" w:hAnsi="Arial" w:hint="eastAsia"/>
                <w:sz w:val="21"/>
              </w:rPr>
              <w:t>？</w:t>
            </w:r>
          </w:p>
          <w:p w:rsidR="0084646C" w:rsidRPr="00DD684A" w:rsidRDefault="0084646C" w:rsidP="0084646C">
            <w:pPr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1-9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月，本行汽车金融贷款新发放额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1,078.68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月末本行汽车金融贷款余额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1,682.74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亿元，较上年末降幅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2.2%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。在汽车消费市场整体增速放缓的趋势下，本行持续依托科技赋能，通过流程优化、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AI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智能化等多项举措，深耕车生态经营策略，不断提升客户体验和服务效率。</w:t>
            </w:r>
          </w:p>
          <w:p w:rsidR="0084646C" w:rsidRDefault="0084646C" w:rsidP="0084646C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84646C" w:rsidRDefault="0084646C" w:rsidP="0084646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按揭业务情况？</w:t>
            </w:r>
          </w:p>
          <w:p w:rsidR="0084646C" w:rsidRDefault="0084646C" w:rsidP="0084646C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月末，本行住房按揭贷款余额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1,912.17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亿，较上年末增长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4.9%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。本行严格落实国家政策规定和监管要求，支持居民家庭首套自住购房需求，并将继续在合规和符合监管要求的前提下稳步开展住房信贷业务。</w:t>
            </w:r>
          </w:p>
          <w:p w:rsidR="0084646C" w:rsidRPr="001F3B5D" w:rsidRDefault="0084646C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84646C" w:rsidRDefault="0084646C" w:rsidP="0084646C">
            <w:pPr>
              <w:pStyle w:val="3"/>
              <w:outlineLvl w:val="2"/>
              <w:rPr>
                <w:rFonts w:ascii="Arial" w:eastAsia="华文细黑" w:hAnsi="Arial"/>
              </w:rPr>
            </w:pPr>
            <w:r>
              <w:rPr>
                <w:rFonts w:ascii="Arial" w:eastAsia="华文细黑" w:hAnsi="Arial" w:hint="eastAsia"/>
              </w:rPr>
              <w:t>零售转型做的挺好，为什么现在又开始做对公了？</w:t>
            </w:r>
          </w:p>
          <w:p w:rsidR="0084646C" w:rsidRDefault="0084646C" w:rsidP="0084646C">
            <w:pPr>
              <w:pStyle w:val="3"/>
              <w:numPr>
                <w:ilvl w:val="0"/>
                <w:numId w:val="0"/>
              </w:numPr>
              <w:ind w:firstLineChars="200" w:firstLine="400"/>
              <w:outlineLvl w:val="2"/>
              <w:rPr>
                <w:rFonts w:ascii="Arial" w:eastAsia="华文细黑" w:hAnsi="Arial"/>
                <w:b w:val="0"/>
              </w:rPr>
            </w:pPr>
            <w:r>
              <w:rPr>
                <w:rFonts w:ascii="Arial" w:eastAsia="华文细黑" w:hAnsi="Arial" w:hint="eastAsia"/>
                <w:b w:val="0"/>
              </w:rPr>
              <w:t>过去三年，加大力度通过各种渠道做综合金融，快速迁徙集团客户。过去三年看到的更多的是零售方面的综合金融成效和业务增长，零售占比提升至六成。未来对公和零售需要协同发展，加大集团对公资源的撬动，更有利于未来零售</w:t>
            </w:r>
            <w:r>
              <w:rPr>
                <w:rFonts w:ascii="Arial" w:eastAsia="华文细黑" w:hAnsi="Arial"/>
                <w:b w:val="0"/>
              </w:rPr>
              <w:t>2.0</w:t>
            </w:r>
            <w:r>
              <w:rPr>
                <w:rFonts w:ascii="Arial" w:eastAsia="华文细黑" w:hAnsi="Arial" w:hint="eastAsia"/>
                <w:b w:val="0"/>
              </w:rPr>
              <w:t>转型的目标。</w:t>
            </w:r>
          </w:p>
          <w:p w:rsidR="0084646C" w:rsidRDefault="0084646C" w:rsidP="0084646C">
            <w:pPr>
              <w:pStyle w:val="3"/>
              <w:numPr>
                <w:ilvl w:val="0"/>
                <w:numId w:val="0"/>
              </w:numPr>
              <w:ind w:firstLineChars="200" w:firstLine="400"/>
              <w:outlineLvl w:val="2"/>
              <w:rPr>
                <w:rFonts w:ascii="Arial" w:eastAsia="华文细黑" w:hAnsi="Arial"/>
                <w:b w:val="0"/>
              </w:rPr>
            </w:pPr>
            <w:r>
              <w:rPr>
                <w:rFonts w:ascii="Arial" w:eastAsia="华文细黑" w:hAnsi="Arial" w:hint="eastAsia"/>
                <w:b w:val="0"/>
              </w:rPr>
              <w:t>接下来，银行战略没有改变。未来愿景还是全球领先、中国卓越的智能零售银行。对公过去是压降，现在恢复正常状态，将在负债、代发等业务帮助零售，未来零售私行靠对公获取优质资产，有利于零售私行财务管理业务的长期发展和提升差异化竞争优势。</w:t>
            </w:r>
          </w:p>
          <w:p w:rsidR="0084646C" w:rsidRDefault="0084646C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E00681" w:rsidRDefault="003B5748" w:rsidP="009E293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bookmarkStart w:id="10" w:name="_Toc496018961"/>
            <w:r w:rsidRPr="00E724E3">
              <w:rPr>
                <w:rFonts w:ascii="Arial" w:eastAsia="华文细黑" w:hAnsi="Arial" w:hint="eastAsia"/>
                <w:sz w:val="21"/>
              </w:rPr>
              <w:t>不良贷款偏离度已经下降到</w:t>
            </w:r>
            <w:r w:rsidRPr="00E724E3">
              <w:rPr>
                <w:rFonts w:ascii="Arial" w:eastAsia="华文细黑" w:hAnsi="Arial"/>
                <w:sz w:val="21"/>
              </w:rPr>
              <w:t>1</w:t>
            </w:r>
            <w:r w:rsidRPr="00E724E3">
              <w:rPr>
                <w:rFonts w:ascii="Arial" w:eastAsia="华文细黑" w:hAnsi="Arial" w:hint="eastAsia"/>
                <w:sz w:val="21"/>
              </w:rPr>
              <w:t>以下，是否意味着历史包袱已经消化完？</w:t>
            </w:r>
          </w:p>
          <w:p w:rsidR="00631CC9" w:rsidRDefault="00631CC9" w:rsidP="008B60BD">
            <w:pPr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本行坚持资产质量为第一生命线理念，积极采取各种措施提升风险防控能力，同时借助大数据、人工智能等技术，提升智能风控水平，</w:t>
            </w:r>
            <w:r w:rsidR="008B60BD" w:rsidRPr="008B60BD">
              <w:rPr>
                <w:rFonts w:ascii="Arial" w:eastAsia="华文细黑" w:hAnsi="Arial" w:hint="eastAsia"/>
                <w:bCs/>
                <w:sz w:val="21"/>
                <w:szCs w:val="21"/>
              </w:rPr>
              <w:t>资产质量水平回归行业正常水平，为我行转型发展、轻装前行奠定了良好基础。</w:t>
            </w:r>
          </w:p>
          <w:p w:rsidR="00E00681" w:rsidRPr="00A1521F" w:rsidRDefault="00631CC9" w:rsidP="008B60BD">
            <w:pPr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="00E724E3">
              <w:rPr>
                <w:rFonts w:ascii="Arial" w:eastAsia="华文细黑" w:hAnsi="Arial" w:hint="eastAsia"/>
                <w:bCs/>
                <w:sz w:val="21"/>
                <w:szCs w:val="21"/>
              </w:rPr>
              <w:t>9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月末，本行主要资产质量指标进一步改善。</w:t>
            </w:r>
            <w:r w:rsidR="003B5748" w:rsidRPr="003B5748">
              <w:rPr>
                <w:rFonts w:ascii="Arial" w:eastAsia="华文细黑" w:hAnsi="Arial" w:hint="eastAsia"/>
                <w:bCs/>
                <w:sz w:val="21"/>
                <w:szCs w:val="21"/>
              </w:rPr>
              <w:t>偏离度于</w:t>
            </w:r>
            <w:r w:rsidR="003B5748" w:rsidRPr="003B5748">
              <w:rPr>
                <w:rFonts w:ascii="Arial" w:eastAsia="华文细黑" w:hAnsi="Arial"/>
                <w:bCs/>
                <w:sz w:val="21"/>
                <w:szCs w:val="21"/>
              </w:rPr>
              <w:t>2018</w:t>
            </w:r>
            <w:r w:rsidR="003B5748" w:rsidRPr="003B5748">
              <w:rPr>
                <w:rFonts w:ascii="Arial" w:eastAsia="华文细黑" w:hAnsi="Arial" w:hint="eastAsia"/>
                <w:bCs/>
                <w:sz w:val="21"/>
                <w:szCs w:val="21"/>
              </w:rPr>
              <w:t>年末下降到</w:t>
            </w:r>
            <w:r w:rsidR="003B5748" w:rsidRPr="003B5748">
              <w:rPr>
                <w:rFonts w:ascii="Arial" w:eastAsia="华文细黑" w:hAnsi="Arial"/>
                <w:bCs/>
                <w:sz w:val="21"/>
                <w:szCs w:val="21"/>
              </w:rPr>
              <w:t>1</w:t>
            </w:r>
            <w:r w:rsidR="003B5748" w:rsidRPr="003B5748">
              <w:rPr>
                <w:rFonts w:ascii="Arial" w:eastAsia="华文细黑" w:hAnsi="Arial" w:hint="eastAsia"/>
                <w:bCs/>
                <w:sz w:val="21"/>
                <w:szCs w:val="21"/>
              </w:rPr>
              <w:t>以下，提前一年达标，从历史高位</w:t>
            </w:r>
            <w:r w:rsidR="003B5748" w:rsidRPr="003B5748">
              <w:rPr>
                <w:rFonts w:ascii="Arial" w:eastAsia="华文细黑" w:hAnsi="Arial"/>
                <w:bCs/>
                <w:sz w:val="21"/>
                <w:szCs w:val="21"/>
              </w:rPr>
              <w:t>2.78</w:t>
            </w:r>
            <w:r w:rsidR="003B5748" w:rsidRPr="003B5748">
              <w:rPr>
                <w:rFonts w:ascii="Arial" w:eastAsia="华文细黑" w:hAnsi="Arial" w:hint="eastAsia"/>
                <w:bCs/>
                <w:sz w:val="21"/>
                <w:szCs w:val="21"/>
              </w:rPr>
              <w:t>下降到</w:t>
            </w:r>
            <w:r w:rsidR="003B5748" w:rsidRPr="003B5748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="003B5748" w:rsidRPr="003B5748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="00E724E3">
              <w:rPr>
                <w:rFonts w:ascii="Arial" w:eastAsia="华文细黑" w:hAnsi="Arial" w:hint="eastAsia"/>
                <w:bCs/>
                <w:sz w:val="21"/>
                <w:szCs w:val="21"/>
              </w:rPr>
              <w:t>9</w:t>
            </w:r>
            <w:r w:rsid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</w:t>
            </w:r>
            <w:r w:rsidR="003B5748" w:rsidRPr="003B5748">
              <w:rPr>
                <w:rFonts w:ascii="Arial" w:eastAsia="华文细黑" w:hAnsi="Arial" w:hint="eastAsia"/>
                <w:bCs/>
                <w:sz w:val="21"/>
                <w:szCs w:val="21"/>
              </w:rPr>
              <w:t>末</w:t>
            </w:r>
            <w:r w:rsidR="00E724E3">
              <w:rPr>
                <w:rFonts w:ascii="Arial" w:eastAsia="华文细黑" w:hAnsi="Arial" w:hint="eastAsia"/>
                <w:bCs/>
                <w:sz w:val="21"/>
                <w:szCs w:val="21"/>
              </w:rPr>
              <w:t>的</w:t>
            </w:r>
            <w:r w:rsidR="003B5748" w:rsidRPr="003B5748">
              <w:rPr>
                <w:rFonts w:ascii="Arial" w:eastAsia="华文细黑" w:hAnsi="Arial"/>
                <w:bCs/>
                <w:sz w:val="21"/>
                <w:szCs w:val="21"/>
              </w:rPr>
              <w:t>0.</w:t>
            </w:r>
            <w:r w:rsidR="00E724E3">
              <w:rPr>
                <w:rFonts w:ascii="Arial" w:eastAsia="华文细黑" w:hAnsi="Arial" w:hint="eastAsia"/>
                <w:bCs/>
                <w:sz w:val="21"/>
                <w:szCs w:val="21"/>
              </w:rPr>
              <w:t>87</w:t>
            </w:r>
            <w:r w:rsidR="003B5748" w:rsidRPr="003B5748">
              <w:rPr>
                <w:rFonts w:ascii="Arial" w:eastAsia="华文细黑" w:hAnsi="Arial" w:hint="eastAsia"/>
                <w:bCs/>
                <w:sz w:val="21"/>
                <w:szCs w:val="21"/>
              </w:rPr>
              <w:t>，难度非常之大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，降幅显著</w:t>
            </w:r>
            <w:r w:rsidR="00A1521F"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bookmarkEnd w:id="1"/>
          <w:bookmarkEnd w:id="2"/>
          <w:bookmarkEnd w:id="3"/>
          <w:bookmarkEnd w:id="10"/>
          <w:p w:rsidR="00AA5A95" w:rsidRDefault="00AA5A95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</w:p>
          <w:p w:rsidR="001F3B5D" w:rsidRPr="00471475" w:rsidRDefault="001F3B5D" w:rsidP="001F3B5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前三季度平安银行</w:t>
            </w:r>
            <w:r w:rsidRPr="00E724E3">
              <w:rPr>
                <w:rFonts w:ascii="Arial" w:eastAsia="华文细黑" w:hAnsi="Arial" w:hint="eastAsia"/>
                <w:sz w:val="21"/>
              </w:rPr>
              <w:t>净息差</w:t>
            </w:r>
            <w:r>
              <w:rPr>
                <w:rFonts w:ascii="Arial" w:eastAsia="华文细黑" w:hAnsi="Arial" w:hint="eastAsia"/>
                <w:sz w:val="21"/>
              </w:rPr>
              <w:t>保持平稳</w:t>
            </w:r>
            <w:r w:rsidRPr="00E724E3">
              <w:rPr>
                <w:rFonts w:ascii="Arial" w:eastAsia="华文细黑" w:hAnsi="Arial" w:hint="eastAsia"/>
                <w:sz w:val="21"/>
              </w:rPr>
              <w:t>，</w:t>
            </w:r>
            <w:r>
              <w:rPr>
                <w:rFonts w:ascii="Arial" w:eastAsia="华文细黑" w:hAnsi="Arial" w:hint="eastAsia"/>
                <w:sz w:val="21"/>
              </w:rPr>
              <w:t>未来趋势</w:t>
            </w:r>
            <w:r w:rsidRPr="00E724E3">
              <w:rPr>
                <w:rFonts w:ascii="Arial" w:eastAsia="华文细黑" w:hAnsi="Arial" w:hint="eastAsia"/>
                <w:sz w:val="21"/>
              </w:rPr>
              <w:t>？</w:t>
            </w:r>
          </w:p>
          <w:p w:rsidR="001F3B5D" w:rsidRDefault="001F3B5D" w:rsidP="001F3B5D">
            <w:pPr>
              <w:pStyle w:val="3"/>
              <w:numPr>
                <w:ilvl w:val="0"/>
                <w:numId w:val="0"/>
              </w:numPr>
              <w:ind w:firstLineChars="200" w:firstLine="420"/>
              <w:jc w:val="left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>
              <w:rPr>
                <w:rFonts w:ascii="Arial" w:eastAsia="华文细黑" w:hAnsi="Arial" w:hint="eastAsia"/>
                <w:b w:val="0"/>
                <w:sz w:val="21"/>
              </w:rPr>
              <w:t>本行净息差同比去年三季度，从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2.2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9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%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上升到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2.62%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，</w:t>
            </w:r>
            <w:r>
              <w:rPr>
                <w:rFonts w:ascii="Arial" w:eastAsia="华文细黑" w:hAnsi="Arial"/>
                <w:b w:val="0"/>
                <w:sz w:val="21"/>
              </w:rPr>
              <w:t>增加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3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3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bp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，在同业中处于较高水平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，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净息差保持稳定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。</w:t>
            </w:r>
          </w:p>
          <w:p w:rsidR="001F3B5D" w:rsidRPr="00E724E3" w:rsidRDefault="001F3B5D" w:rsidP="001F3B5D">
            <w:pPr>
              <w:pStyle w:val="3"/>
              <w:numPr>
                <w:ilvl w:val="0"/>
                <w:numId w:val="0"/>
              </w:numPr>
              <w:ind w:firstLineChars="200" w:firstLine="420"/>
              <w:jc w:val="left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>
              <w:rPr>
                <w:rFonts w:ascii="Arial" w:eastAsia="华文细黑" w:hAnsi="Arial" w:hint="eastAsia"/>
                <w:b w:val="0"/>
                <w:sz w:val="21"/>
              </w:rPr>
              <w:t>主要原因是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受市场利率下行因素及资产重定价影响，新发放贷款收益率走低，市场化程度较高的资产收益率下降明显</w:t>
            </w:r>
            <w:r w:rsidRPr="00E724E3">
              <w:rPr>
                <w:rFonts w:ascii="Arial" w:eastAsia="华文细黑" w:hAnsi="Arial"/>
                <w:b w:val="0"/>
                <w:bCs w:val="0"/>
                <w:sz w:val="21"/>
              </w:rPr>
              <w:t>，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资产端收益率环比下降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10bp</w:t>
            </w:r>
            <w:r>
              <w:rPr>
                <w:rFonts w:ascii="Arial" w:eastAsia="华文细黑" w:hAnsi="Arial" w:hint="eastAsia"/>
                <w:b w:val="0"/>
                <w:bCs w:val="0"/>
                <w:sz w:val="21"/>
              </w:rPr>
              <w:t>。</w:t>
            </w:r>
          </w:p>
          <w:p w:rsidR="00E724E3" w:rsidRDefault="00E724E3" w:rsidP="0084646C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</w:p>
          <w:p w:rsidR="00A84DCD" w:rsidRPr="00226184" w:rsidRDefault="00A84DCD" w:rsidP="00A84DC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226184">
              <w:rPr>
                <w:rFonts w:ascii="Arial" w:eastAsia="华文细黑" w:hAnsi="Arial" w:hint="eastAsia"/>
                <w:sz w:val="21"/>
              </w:rPr>
              <w:t>平安银行</w:t>
            </w:r>
            <w:r w:rsidRPr="00226184">
              <w:rPr>
                <w:rFonts w:ascii="Arial" w:eastAsia="华文细黑" w:hAnsi="Arial"/>
                <w:sz w:val="21"/>
              </w:rPr>
              <w:t>2019</w:t>
            </w:r>
            <w:r w:rsidRPr="00226184">
              <w:rPr>
                <w:rFonts w:ascii="Arial" w:eastAsia="华文细黑" w:hAnsi="Arial" w:hint="eastAsia"/>
                <w:sz w:val="21"/>
              </w:rPr>
              <w:t>年</w:t>
            </w:r>
            <w:r w:rsidRPr="00226184">
              <w:rPr>
                <w:rFonts w:ascii="Arial" w:eastAsia="华文细黑" w:hAnsi="Arial"/>
                <w:sz w:val="21"/>
              </w:rPr>
              <w:t>ROA</w:t>
            </w:r>
            <w:r w:rsidRPr="00226184">
              <w:rPr>
                <w:rFonts w:ascii="Arial" w:eastAsia="华文细黑" w:hAnsi="Arial" w:hint="eastAsia"/>
                <w:sz w:val="21"/>
              </w:rPr>
              <w:t>和</w:t>
            </w:r>
            <w:r w:rsidRPr="00226184">
              <w:rPr>
                <w:rFonts w:ascii="Arial" w:eastAsia="华文细黑" w:hAnsi="Arial"/>
                <w:sz w:val="21"/>
              </w:rPr>
              <w:t>ROE</w:t>
            </w:r>
            <w:r w:rsidRPr="00226184">
              <w:rPr>
                <w:rFonts w:ascii="Arial" w:eastAsia="华文细黑" w:hAnsi="Arial" w:hint="eastAsia"/>
                <w:sz w:val="21"/>
              </w:rPr>
              <w:t>目标？具体提升举措是什么？</w:t>
            </w:r>
            <w:r w:rsidRPr="00226184">
              <w:rPr>
                <w:rFonts w:ascii="Arial" w:eastAsia="华文细黑" w:hAnsi="Arial"/>
                <w:sz w:val="21"/>
              </w:rPr>
              <w:t xml:space="preserve"> </w:t>
            </w:r>
          </w:p>
          <w:p w:rsidR="00A84DCD" w:rsidRDefault="00A84DCD" w:rsidP="00A84DCD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E724E3">
              <w:rPr>
                <w:rFonts w:ascii="Arial" w:eastAsia="华文细黑" w:hAnsi="Arial"/>
                <w:b w:val="0"/>
                <w:sz w:val="21"/>
              </w:rPr>
              <w:t>2019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年三季度末，受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9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月份可转债转股摊薄的影响，年化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ROE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12.64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%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，同比上年增长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0.04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个百分点，剔除此因素的影响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ROE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为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12.88%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，同比增长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0.28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个百分点。本行需要在利润增长和风险抵御能力上寻求合理平衡，</w:t>
            </w:r>
            <w:r w:rsidRPr="00226184">
              <w:rPr>
                <w:rFonts w:ascii="Arial" w:eastAsia="华文细黑" w:hAnsi="Arial" w:hint="eastAsia"/>
                <w:b w:val="0"/>
                <w:sz w:val="21"/>
              </w:rPr>
              <w:t>未来</w:t>
            </w:r>
            <w:r w:rsidRPr="00226184">
              <w:rPr>
                <w:rFonts w:ascii="Arial" w:eastAsia="华文细黑" w:hAnsi="Arial"/>
                <w:b w:val="0"/>
                <w:sz w:val="21"/>
              </w:rPr>
              <w:t>ROE</w:t>
            </w:r>
            <w:r w:rsidRPr="00226184">
              <w:rPr>
                <w:rFonts w:ascii="Arial" w:eastAsia="华文细黑" w:hAnsi="Arial" w:hint="eastAsia"/>
                <w:b w:val="0"/>
                <w:sz w:val="21"/>
              </w:rPr>
              <w:t>有望保持持续上升。</w:t>
            </w:r>
          </w:p>
          <w:p w:rsidR="00A84DCD" w:rsidRPr="00A84DCD" w:rsidRDefault="00A84DCD" w:rsidP="0084646C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</w:p>
          <w:p w:rsidR="00DD684A" w:rsidRPr="00CA0689" w:rsidRDefault="00DD684A" w:rsidP="00DD684A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分行和网点的发展情况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DD684A" w:rsidRDefault="00DD684A" w:rsidP="00DD684A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cs="Arial"/>
                <w:bCs/>
                <w:sz w:val="21"/>
                <w:szCs w:val="21"/>
              </w:rPr>
            </w:pP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本行持续实施网点智能化建设，合理配置网点布局，</w:t>
            </w:r>
            <w:r w:rsidR="00E724E3"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截至</w:t>
            </w:r>
            <w:r w:rsidR="00E724E3" w:rsidRPr="00E724E3">
              <w:rPr>
                <w:rFonts w:ascii="Arial" w:eastAsia="华文细黑" w:hAnsi="Arial" w:cs="Arial"/>
                <w:bCs/>
                <w:sz w:val="21"/>
                <w:szCs w:val="21"/>
              </w:rPr>
              <w:t>2019</w:t>
            </w:r>
            <w:r w:rsidR="00E724E3"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年</w:t>
            </w:r>
            <w:r w:rsidR="00E724E3" w:rsidRPr="00E724E3">
              <w:rPr>
                <w:rFonts w:ascii="Arial" w:eastAsia="华文细黑" w:hAnsi="Arial" w:cs="Arial"/>
                <w:bCs/>
                <w:sz w:val="21"/>
                <w:szCs w:val="21"/>
              </w:rPr>
              <w:t>9</w:t>
            </w:r>
            <w:r w:rsidR="00E724E3"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月末，本行有</w:t>
            </w:r>
            <w:r w:rsidR="00E724E3" w:rsidRPr="00E724E3">
              <w:rPr>
                <w:rFonts w:ascii="Arial" w:eastAsia="华文细黑" w:hAnsi="Arial" w:cs="Arial"/>
                <w:bCs/>
                <w:sz w:val="21"/>
                <w:szCs w:val="21"/>
              </w:rPr>
              <w:t>8</w:t>
            </w:r>
            <w:r w:rsidR="00E724E3"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7</w:t>
            </w:r>
            <w:r w:rsidR="00E724E3"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家分行（含香港分行）、共</w:t>
            </w:r>
            <w:r w:rsidR="00E724E3" w:rsidRPr="00E724E3">
              <w:rPr>
                <w:rFonts w:ascii="Arial" w:eastAsia="华文细黑" w:hAnsi="Arial" w:cs="Arial"/>
                <w:bCs/>
                <w:sz w:val="21"/>
                <w:szCs w:val="21"/>
              </w:rPr>
              <w:t>1,04</w:t>
            </w:r>
            <w:r w:rsidR="00E724E3"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9</w:t>
            </w:r>
            <w:r w:rsidR="00E724E3"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家营业机构。同时，本行持续推广“轻型化、社区化、智能化、多元化”的零售新门店，</w:t>
            </w:r>
            <w:r w:rsidR="00E724E3"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2019</w:t>
            </w:r>
            <w:r w:rsidR="00E724E3"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年</w:t>
            </w:r>
            <w:r w:rsidR="00E724E3" w:rsidRPr="00E724E3">
              <w:rPr>
                <w:rFonts w:ascii="Arial" w:eastAsia="华文细黑" w:hAnsi="Arial" w:cs="Arial"/>
                <w:bCs/>
                <w:sz w:val="21"/>
                <w:szCs w:val="21"/>
              </w:rPr>
              <w:t>9</w:t>
            </w:r>
            <w:r w:rsidR="00E724E3"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月末，全国已开业</w:t>
            </w:r>
            <w:r w:rsidR="00E724E3" w:rsidRPr="00E724E3">
              <w:rPr>
                <w:rFonts w:ascii="Arial" w:eastAsia="华文细黑" w:hAnsi="Arial" w:cs="Arial"/>
                <w:bCs/>
                <w:sz w:val="21"/>
                <w:szCs w:val="21"/>
              </w:rPr>
              <w:t>245</w:t>
            </w:r>
            <w:r w:rsidR="00E724E3"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家新门店。</w:t>
            </w:r>
          </w:p>
          <w:bookmarkEnd w:id="4"/>
          <w:bookmarkEnd w:id="5"/>
          <w:bookmarkEnd w:id="6"/>
          <w:bookmarkEnd w:id="7"/>
          <w:bookmarkEnd w:id="8"/>
          <w:bookmarkEnd w:id="9"/>
          <w:p w:rsidR="005E33CA" w:rsidRPr="00A115A1" w:rsidRDefault="005E33CA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A115A1" w:rsidRPr="00631CC9" w:rsidRDefault="00A115A1" w:rsidP="00631CC9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631CC9">
              <w:rPr>
                <w:rFonts w:ascii="Arial" w:eastAsia="华文细黑" w:hAnsi="Arial" w:hint="eastAsia"/>
                <w:sz w:val="21"/>
              </w:rPr>
              <w:t>贵行发行可转债后，资本充足率情况？</w:t>
            </w:r>
          </w:p>
          <w:p w:rsidR="00A115A1" w:rsidRDefault="00E724E3" w:rsidP="00E724E3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我行于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21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日公开发行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260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亿可转债，并于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18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日成功转股，转股比例高达为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99.9963%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，刷新历史最高记录。截至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月末，资本充足率、一级、核心一级资本充足率将分别为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13.36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、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10.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54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、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9.7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5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p w:rsidR="00A115A1" w:rsidRP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CC12EA" w:rsidRPr="00CA0689" w:rsidRDefault="00A140B8" w:rsidP="00E724E3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  <w:lang w:val="zh-TW"/>
              </w:rPr>
            </w:pPr>
            <w:r w:rsidRPr="00CA0689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50C6" w:rsidP="00C21A8C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2019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年</w:t>
            </w:r>
            <w:r w:rsidR="00E724E3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三季度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业绩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PPT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（请参见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bank.pingan.com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投资者关系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-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公司推介栏目）</w:t>
            </w:r>
          </w:p>
        </w:tc>
      </w:tr>
      <w:tr w:rsidR="00EE1C10" w:rsidRPr="00CA0689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50C6" w:rsidP="00E724E3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E724E3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11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E724E3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22</w:t>
            </w:r>
          </w:p>
        </w:tc>
      </w:tr>
    </w:tbl>
    <w:p w:rsidR="00941F1C" w:rsidRPr="00CA0689" w:rsidRDefault="00941F1C" w:rsidP="00862CF2">
      <w:pPr>
        <w:rPr>
          <w:rFonts w:ascii="Arial" w:eastAsia="华文细黑" w:hAnsi="Arial"/>
          <w:szCs w:val="21"/>
        </w:rPr>
      </w:pPr>
    </w:p>
    <w:sectPr w:rsidR="00941F1C" w:rsidRPr="00CA0689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35" w:rsidRDefault="00693E35" w:rsidP="00D96584">
      <w:r>
        <w:separator/>
      </w:r>
    </w:p>
  </w:endnote>
  <w:endnote w:type="continuationSeparator" w:id="0">
    <w:p w:rsidR="00693E35" w:rsidRDefault="00693E35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35" w:rsidRDefault="00693E35" w:rsidP="00D96584">
      <w:r>
        <w:separator/>
      </w:r>
    </w:p>
  </w:footnote>
  <w:footnote w:type="continuationSeparator" w:id="0">
    <w:p w:rsidR="00693E35" w:rsidRDefault="00693E35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35D16322"/>
    <w:multiLevelType w:val="hybridMultilevel"/>
    <w:tmpl w:val="FBCEA6A2"/>
    <w:lvl w:ilvl="0" w:tplc="419EDC28">
      <w:start w:val="1"/>
      <w:numFmt w:val="decimal"/>
      <w:pStyle w:val="3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43512"/>
    <w:rsid w:val="0005090F"/>
    <w:rsid w:val="00065AA6"/>
    <w:rsid w:val="00082013"/>
    <w:rsid w:val="00083D6A"/>
    <w:rsid w:val="000A2DF8"/>
    <w:rsid w:val="000B3693"/>
    <w:rsid w:val="000B41B6"/>
    <w:rsid w:val="00101C48"/>
    <w:rsid w:val="00130F3C"/>
    <w:rsid w:val="001362E7"/>
    <w:rsid w:val="001434EB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1F3B5D"/>
    <w:rsid w:val="00210939"/>
    <w:rsid w:val="00217D1A"/>
    <w:rsid w:val="00227050"/>
    <w:rsid w:val="002515C0"/>
    <w:rsid w:val="002721F3"/>
    <w:rsid w:val="00276DAA"/>
    <w:rsid w:val="002B200E"/>
    <w:rsid w:val="002B4EAA"/>
    <w:rsid w:val="002B5D00"/>
    <w:rsid w:val="002F1CBE"/>
    <w:rsid w:val="003075A1"/>
    <w:rsid w:val="003317E5"/>
    <w:rsid w:val="0034241B"/>
    <w:rsid w:val="003450A0"/>
    <w:rsid w:val="00354883"/>
    <w:rsid w:val="00375010"/>
    <w:rsid w:val="003777D5"/>
    <w:rsid w:val="003B107D"/>
    <w:rsid w:val="003B5748"/>
    <w:rsid w:val="003B721F"/>
    <w:rsid w:val="003C375D"/>
    <w:rsid w:val="003C42A4"/>
    <w:rsid w:val="003F144D"/>
    <w:rsid w:val="003F79D6"/>
    <w:rsid w:val="00413B4B"/>
    <w:rsid w:val="0043629D"/>
    <w:rsid w:val="00442349"/>
    <w:rsid w:val="0045059E"/>
    <w:rsid w:val="00461C9C"/>
    <w:rsid w:val="00471475"/>
    <w:rsid w:val="0049405C"/>
    <w:rsid w:val="00497C7E"/>
    <w:rsid w:val="004B47B1"/>
    <w:rsid w:val="004F6F03"/>
    <w:rsid w:val="00511122"/>
    <w:rsid w:val="0051123B"/>
    <w:rsid w:val="0051176B"/>
    <w:rsid w:val="00535D6F"/>
    <w:rsid w:val="005464C3"/>
    <w:rsid w:val="00550FD9"/>
    <w:rsid w:val="0055309B"/>
    <w:rsid w:val="005B3BAE"/>
    <w:rsid w:val="005C32E3"/>
    <w:rsid w:val="005E33CA"/>
    <w:rsid w:val="005E4299"/>
    <w:rsid w:val="00622C3A"/>
    <w:rsid w:val="00623A26"/>
    <w:rsid w:val="00631CC9"/>
    <w:rsid w:val="0063326E"/>
    <w:rsid w:val="006350C6"/>
    <w:rsid w:val="00684A13"/>
    <w:rsid w:val="00693E35"/>
    <w:rsid w:val="006A1753"/>
    <w:rsid w:val="006A7B25"/>
    <w:rsid w:val="006B0B04"/>
    <w:rsid w:val="006C5210"/>
    <w:rsid w:val="006E4D55"/>
    <w:rsid w:val="006F64B3"/>
    <w:rsid w:val="00740C1A"/>
    <w:rsid w:val="00761259"/>
    <w:rsid w:val="00777BC7"/>
    <w:rsid w:val="00793203"/>
    <w:rsid w:val="007C213F"/>
    <w:rsid w:val="00803207"/>
    <w:rsid w:val="008132CB"/>
    <w:rsid w:val="0082259D"/>
    <w:rsid w:val="008439B9"/>
    <w:rsid w:val="00845B88"/>
    <w:rsid w:val="0084646C"/>
    <w:rsid w:val="00853994"/>
    <w:rsid w:val="00862CF2"/>
    <w:rsid w:val="008710F9"/>
    <w:rsid w:val="00880699"/>
    <w:rsid w:val="0089673B"/>
    <w:rsid w:val="008A4E3E"/>
    <w:rsid w:val="008B3EDE"/>
    <w:rsid w:val="008B60BD"/>
    <w:rsid w:val="008C111F"/>
    <w:rsid w:val="008F16A2"/>
    <w:rsid w:val="00921892"/>
    <w:rsid w:val="00930952"/>
    <w:rsid w:val="00941F1C"/>
    <w:rsid w:val="00951547"/>
    <w:rsid w:val="009C4894"/>
    <w:rsid w:val="009C5679"/>
    <w:rsid w:val="009E293D"/>
    <w:rsid w:val="009E71F2"/>
    <w:rsid w:val="009F13CD"/>
    <w:rsid w:val="00A06B39"/>
    <w:rsid w:val="00A115A1"/>
    <w:rsid w:val="00A140B8"/>
    <w:rsid w:val="00A1521F"/>
    <w:rsid w:val="00A84DCD"/>
    <w:rsid w:val="00A87A56"/>
    <w:rsid w:val="00AA5A95"/>
    <w:rsid w:val="00AB47CE"/>
    <w:rsid w:val="00AB67BB"/>
    <w:rsid w:val="00AD4C28"/>
    <w:rsid w:val="00B17ECB"/>
    <w:rsid w:val="00B31C4E"/>
    <w:rsid w:val="00B454CA"/>
    <w:rsid w:val="00B65391"/>
    <w:rsid w:val="00B708D6"/>
    <w:rsid w:val="00B71E2E"/>
    <w:rsid w:val="00B84A84"/>
    <w:rsid w:val="00BB741D"/>
    <w:rsid w:val="00BE11BC"/>
    <w:rsid w:val="00BE3743"/>
    <w:rsid w:val="00C12E89"/>
    <w:rsid w:val="00C21A8C"/>
    <w:rsid w:val="00C30CA5"/>
    <w:rsid w:val="00C35BCB"/>
    <w:rsid w:val="00C51768"/>
    <w:rsid w:val="00C81677"/>
    <w:rsid w:val="00C87159"/>
    <w:rsid w:val="00CA0689"/>
    <w:rsid w:val="00CA1629"/>
    <w:rsid w:val="00CB4AC9"/>
    <w:rsid w:val="00CC12EA"/>
    <w:rsid w:val="00CF7823"/>
    <w:rsid w:val="00D03DFD"/>
    <w:rsid w:val="00D06801"/>
    <w:rsid w:val="00D302B7"/>
    <w:rsid w:val="00D50045"/>
    <w:rsid w:val="00D87038"/>
    <w:rsid w:val="00D91B1B"/>
    <w:rsid w:val="00D926C5"/>
    <w:rsid w:val="00D96584"/>
    <w:rsid w:val="00DB35CA"/>
    <w:rsid w:val="00DC7C3C"/>
    <w:rsid w:val="00DD1E65"/>
    <w:rsid w:val="00DD684A"/>
    <w:rsid w:val="00DD7DFF"/>
    <w:rsid w:val="00DE4B3F"/>
    <w:rsid w:val="00E00681"/>
    <w:rsid w:val="00E055AC"/>
    <w:rsid w:val="00E1525A"/>
    <w:rsid w:val="00E37317"/>
    <w:rsid w:val="00E50C4A"/>
    <w:rsid w:val="00E724E3"/>
    <w:rsid w:val="00E733AB"/>
    <w:rsid w:val="00EE1C10"/>
    <w:rsid w:val="00EE4F68"/>
    <w:rsid w:val="00EE7C01"/>
    <w:rsid w:val="00F16F75"/>
    <w:rsid w:val="00F628CA"/>
    <w:rsid w:val="00F66AD9"/>
    <w:rsid w:val="00FA1FC9"/>
    <w:rsid w:val="00FA7D26"/>
    <w:rsid w:val="00FC0257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5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5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598</Words>
  <Characters>3411</Characters>
  <Application>Microsoft Office Word</Application>
  <DocSecurity>0</DocSecurity>
  <Lines>28</Lines>
  <Paragraphs>8</Paragraphs>
  <ScaleCrop>false</ScaleCrop>
  <Company>sdb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10</cp:revision>
  <dcterms:created xsi:type="dcterms:W3CDTF">2019-12-23T04:15:00Z</dcterms:created>
  <dcterms:modified xsi:type="dcterms:W3CDTF">2020-01-16T08:42:00Z</dcterms:modified>
</cp:coreProperties>
</file>