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400" w:lineRule="exact"/>
        <w:rPr>
          <w:bCs/>
          <w:iCs/>
          <w:sz w:val="24"/>
        </w:rPr>
      </w:pPr>
      <w:r>
        <w:rPr>
          <w:bCs/>
          <w:iCs/>
          <w:sz w:val="24"/>
        </w:rPr>
        <w:t>证券代码：000969                                   证券简称：安泰科技</w:t>
      </w:r>
    </w:p>
    <w:p>
      <w:pPr>
        <w:spacing w:before="156" w:beforeLines="50" w:after="156" w:afterLines="50" w:line="400" w:lineRule="exact"/>
        <w:jc w:val="center"/>
        <w:rPr>
          <w:b/>
          <w:bCs/>
          <w:iCs/>
          <w:sz w:val="32"/>
          <w:szCs w:val="32"/>
        </w:rPr>
      </w:pPr>
      <w:r>
        <w:rPr>
          <w:b/>
          <w:bCs/>
          <w:iCs/>
          <w:sz w:val="32"/>
          <w:szCs w:val="32"/>
        </w:rPr>
        <w:t>安泰科技股份有限公司投资者关系活动记录表</w:t>
      </w:r>
    </w:p>
    <w:p>
      <w:pPr>
        <w:spacing w:line="400" w:lineRule="exact"/>
        <w:rPr>
          <w:bCs/>
          <w:iCs/>
          <w:sz w:val="24"/>
        </w:rPr>
      </w:pPr>
      <w:r>
        <w:rPr>
          <w:bCs/>
          <w:iCs/>
          <w:sz w:val="24"/>
        </w:rPr>
        <w:t xml:space="preserve">                                                        编号：20</w:t>
      </w:r>
      <w:r>
        <w:rPr>
          <w:rFonts w:hint="eastAsia"/>
          <w:bCs/>
          <w:iCs/>
          <w:sz w:val="24"/>
          <w:lang w:val="en-US" w:eastAsia="zh-CN"/>
        </w:rPr>
        <w:t>20</w:t>
      </w:r>
      <w:r>
        <w:rPr>
          <w:bCs/>
          <w:iCs/>
          <w:sz w:val="24"/>
        </w:rPr>
        <w:t>-0</w:t>
      </w:r>
      <w:r>
        <w:rPr>
          <w:rFonts w:hint="eastAsia"/>
          <w:bCs/>
          <w:iCs/>
          <w:sz w:val="24"/>
          <w:lang w:val="en-US" w:eastAsia="zh-CN"/>
        </w:rPr>
        <w:t>02</w:t>
      </w:r>
    </w:p>
    <w:tbl>
      <w:tblPr>
        <w:tblStyle w:val="5"/>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iCs/>
                <w:sz w:val="24"/>
                <w:highlight w:val="none"/>
              </w:rPr>
            </w:pPr>
            <w:r>
              <w:rPr>
                <w:bCs/>
                <w:iCs/>
                <w:sz w:val="24"/>
                <w:highlight w:val="none"/>
              </w:rPr>
              <w:t>投资者关系</w:t>
            </w:r>
          </w:p>
          <w:p>
            <w:pPr>
              <w:spacing w:line="360" w:lineRule="auto"/>
              <w:jc w:val="center"/>
              <w:rPr>
                <w:bCs/>
                <w:iCs/>
                <w:sz w:val="24"/>
                <w:highlight w:val="none"/>
              </w:rPr>
            </w:pPr>
            <w:r>
              <w:rPr>
                <w:bCs/>
                <w:iCs/>
                <w:sz w:val="24"/>
                <w:highlight w:val="none"/>
              </w:rPr>
              <w:t>活动类别</w:t>
            </w:r>
          </w:p>
        </w:tc>
        <w:tc>
          <w:tcPr>
            <w:tcW w:w="7735"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w:t>
            </w:r>
            <w:r>
              <w:rPr>
                <w:sz w:val="24"/>
                <w:highlight w:val="none"/>
              </w:rPr>
              <w:t xml:space="preserve">特定对象调研        </w:t>
            </w:r>
            <w:r>
              <w:rPr>
                <w:bCs/>
                <w:iCs/>
                <w:sz w:val="24"/>
                <w:highlight w:val="none"/>
              </w:rPr>
              <w:t>□</w:t>
            </w:r>
            <w:r>
              <w:rPr>
                <w:sz w:val="24"/>
                <w:highlight w:val="none"/>
              </w:rPr>
              <w:t>分析师会议</w:t>
            </w:r>
          </w:p>
          <w:p>
            <w:pPr>
              <w:spacing w:line="360" w:lineRule="auto"/>
              <w:rPr>
                <w:bCs/>
                <w:iCs/>
                <w:sz w:val="24"/>
                <w:highlight w:val="none"/>
              </w:rPr>
            </w:pPr>
            <w:r>
              <w:rPr>
                <w:bCs/>
                <w:iCs/>
                <w:sz w:val="24"/>
                <w:highlight w:val="none"/>
              </w:rPr>
              <w:t>□</w:t>
            </w:r>
            <w:r>
              <w:rPr>
                <w:sz w:val="24"/>
                <w:highlight w:val="none"/>
              </w:rPr>
              <w:t xml:space="preserve">媒体采访            </w:t>
            </w:r>
            <w:r>
              <w:rPr>
                <w:bCs/>
                <w:iCs/>
                <w:sz w:val="24"/>
                <w:highlight w:val="none"/>
              </w:rPr>
              <w:t>□</w:t>
            </w:r>
            <w:r>
              <w:rPr>
                <w:sz w:val="24"/>
                <w:highlight w:val="none"/>
              </w:rPr>
              <w:t>业绩说明会</w:t>
            </w:r>
          </w:p>
          <w:p>
            <w:pPr>
              <w:spacing w:line="360" w:lineRule="auto"/>
              <w:rPr>
                <w:bCs/>
                <w:iCs/>
                <w:sz w:val="24"/>
                <w:highlight w:val="none"/>
              </w:rPr>
            </w:pPr>
            <w:r>
              <w:rPr>
                <w:bCs/>
                <w:iCs/>
                <w:sz w:val="24"/>
                <w:highlight w:val="none"/>
              </w:rPr>
              <w:t>□</w:t>
            </w:r>
            <w:r>
              <w:rPr>
                <w:sz w:val="24"/>
                <w:highlight w:val="none"/>
              </w:rPr>
              <w:t xml:space="preserve">新闻发布会          </w:t>
            </w:r>
            <w:r>
              <w:rPr>
                <w:bCs/>
                <w:iCs/>
                <w:sz w:val="24"/>
                <w:highlight w:val="none"/>
              </w:rPr>
              <w:t>□</w:t>
            </w:r>
            <w:r>
              <w:rPr>
                <w:sz w:val="24"/>
                <w:highlight w:val="none"/>
              </w:rPr>
              <w:t>路演活动</w:t>
            </w:r>
          </w:p>
          <w:p>
            <w:pPr>
              <w:tabs>
                <w:tab w:val="center" w:pos="3199"/>
              </w:tabs>
              <w:spacing w:line="360" w:lineRule="auto"/>
              <w:rPr>
                <w:bCs/>
                <w:iCs/>
                <w:sz w:val="24"/>
                <w:highlight w:val="none"/>
              </w:rPr>
            </w:pPr>
            <w:r>
              <w:rPr>
                <w:bCs/>
                <w:iCs/>
                <w:sz w:val="24"/>
                <w:highlight w:val="none"/>
              </w:rPr>
              <w:t>□</w:t>
            </w:r>
            <w:r>
              <w:rPr>
                <w:sz w:val="24"/>
                <w:highlight w:val="none"/>
              </w:rPr>
              <w:t>现场参观</w:t>
            </w:r>
            <w:r>
              <w:rPr>
                <w:bCs/>
                <w:iCs/>
                <w:sz w:val="24"/>
                <w:highlight w:val="none"/>
              </w:rPr>
              <w:t xml:space="preserve">            □</w:t>
            </w:r>
            <w:r>
              <w:rPr>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highlight w:val="none"/>
              </w:rPr>
            </w:pPr>
            <w:r>
              <w:rPr>
                <w:bCs/>
                <w:iCs/>
                <w:sz w:val="24"/>
                <w:highlight w:val="none"/>
              </w:rPr>
              <w:t>参与单位名称及人员姓名</w:t>
            </w:r>
          </w:p>
        </w:tc>
        <w:tc>
          <w:tcPr>
            <w:tcW w:w="7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eastAsia="宋体"/>
                <w:bCs/>
                <w:iCs/>
                <w:sz w:val="24"/>
                <w:szCs w:val="24"/>
                <w:highlight w:val="none"/>
                <w:lang w:val="en-US" w:eastAsia="zh-CN"/>
              </w:rPr>
            </w:pPr>
            <w:r>
              <w:rPr>
                <w:rFonts w:hint="eastAsia"/>
                <w:bCs/>
                <w:iCs/>
                <w:sz w:val="24"/>
                <w:szCs w:val="24"/>
                <w:highlight w:val="none"/>
                <w:lang w:val="en-US" w:eastAsia="zh-CN"/>
              </w:rPr>
              <w:t>广发证券-巨国贤、宫帅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rFonts w:hint="eastAsia"/>
                <w:bCs/>
                <w:iCs/>
                <w:sz w:val="24"/>
                <w:highlight w:val="none"/>
                <w:lang w:val="en-US" w:eastAsia="zh-CN"/>
              </w:rPr>
              <w:t>接待</w:t>
            </w:r>
            <w:r>
              <w:rPr>
                <w:bCs/>
                <w:iCs/>
                <w:sz w:val="24"/>
                <w:highlight w:val="none"/>
              </w:rPr>
              <w:t>时间</w:t>
            </w:r>
          </w:p>
        </w:tc>
        <w:tc>
          <w:tcPr>
            <w:tcW w:w="7735"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20</w:t>
            </w:r>
            <w:r>
              <w:rPr>
                <w:rFonts w:hint="eastAsia"/>
                <w:bCs/>
                <w:iCs/>
                <w:sz w:val="24"/>
                <w:highlight w:val="none"/>
                <w:lang w:val="en-US" w:eastAsia="zh-CN"/>
              </w:rPr>
              <w:t>20</w:t>
            </w:r>
            <w:r>
              <w:rPr>
                <w:bCs/>
                <w:iCs/>
                <w:sz w:val="24"/>
                <w:highlight w:val="none"/>
              </w:rPr>
              <w:t>年</w:t>
            </w:r>
            <w:r>
              <w:rPr>
                <w:rFonts w:hint="eastAsia"/>
                <w:bCs/>
                <w:iCs/>
                <w:sz w:val="24"/>
                <w:highlight w:val="none"/>
                <w:lang w:val="en-US" w:eastAsia="zh-CN"/>
              </w:rPr>
              <w:t>2</w:t>
            </w:r>
            <w:r>
              <w:rPr>
                <w:bCs/>
                <w:iCs/>
                <w:sz w:val="24"/>
                <w:highlight w:val="none"/>
              </w:rPr>
              <w:t>月</w:t>
            </w:r>
            <w:r>
              <w:rPr>
                <w:rFonts w:hint="eastAsia"/>
                <w:bCs/>
                <w:iCs/>
                <w:sz w:val="24"/>
                <w:highlight w:val="none"/>
                <w:lang w:val="en-US" w:eastAsia="zh-CN"/>
              </w:rPr>
              <w:t>14</w:t>
            </w:r>
            <w:r>
              <w:rPr>
                <w:bCs/>
                <w:iCs/>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rFonts w:hint="eastAsia"/>
                <w:bCs/>
                <w:iCs/>
                <w:sz w:val="24"/>
                <w:highlight w:val="none"/>
                <w:lang w:val="en-US" w:eastAsia="zh-CN"/>
              </w:rPr>
              <w:t>接待</w:t>
            </w:r>
            <w:r>
              <w:rPr>
                <w:bCs/>
                <w:iCs/>
                <w:sz w:val="24"/>
                <w:highlight w:val="none"/>
              </w:rPr>
              <w:t>地点</w:t>
            </w:r>
          </w:p>
        </w:tc>
        <w:tc>
          <w:tcPr>
            <w:tcW w:w="7735" w:type="dxa"/>
            <w:tcBorders>
              <w:top w:val="single" w:color="auto" w:sz="4" w:space="0"/>
              <w:left w:val="single" w:color="auto" w:sz="4" w:space="0"/>
              <w:bottom w:val="single" w:color="auto" w:sz="4" w:space="0"/>
              <w:right w:val="single" w:color="auto" w:sz="4" w:space="0"/>
            </w:tcBorders>
            <w:vAlign w:val="top"/>
          </w:tcPr>
          <w:p>
            <w:pPr>
              <w:spacing w:line="360" w:lineRule="auto"/>
              <w:rPr>
                <w:rFonts w:hint="default" w:eastAsia="宋体"/>
                <w:bCs/>
                <w:iCs/>
                <w:sz w:val="24"/>
                <w:highlight w:val="none"/>
                <w:lang w:val="en-US" w:eastAsia="zh-CN"/>
              </w:rPr>
            </w:pPr>
            <w:r>
              <w:rPr>
                <w:rFonts w:hint="eastAsia"/>
                <w:bCs/>
                <w:iCs/>
                <w:sz w:val="24"/>
                <w:highlight w:val="none"/>
                <w:lang w:val="en-US" w:eastAsia="zh-CN"/>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highlight w:val="none"/>
              </w:rPr>
            </w:pPr>
            <w:r>
              <w:rPr>
                <w:bCs/>
                <w:iCs/>
                <w:sz w:val="24"/>
                <w:highlight w:val="none"/>
              </w:rPr>
              <w:t>上市公司</w:t>
            </w:r>
          </w:p>
          <w:p>
            <w:pPr>
              <w:spacing w:line="360" w:lineRule="auto"/>
              <w:jc w:val="left"/>
              <w:rPr>
                <w:bCs/>
                <w:iCs/>
                <w:sz w:val="24"/>
                <w:highlight w:val="none"/>
              </w:rPr>
            </w:pPr>
            <w:r>
              <w:rPr>
                <w:bCs/>
                <w:iCs/>
                <w:sz w:val="24"/>
                <w:highlight w:val="none"/>
              </w:rPr>
              <w:t>接待人员姓名</w:t>
            </w:r>
          </w:p>
        </w:tc>
        <w:tc>
          <w:tcPr>
            <w:tcW w:w="7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highlight w:val="none"/>
              </w:rPr>
            </w:pPr>
            <w:r>
              <w:rPr>
                <w:rFonts w:hint="eastAsia"/>
                <w:bCs/>
                <w:iCs/>
                <w:sz w:val="24"/>
                <w:highlight w:val="none"/>
                <w:lang w:val="en-US" w:eastAsia="zh-CN"/>
              </w:rPr>
              <w:t>陈哲—副总裁、董事会秘书  赵晨—证券事务代表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bCs/>
                <w:iCs/>
                <w:sz w:val="24"/>
                <w:highlight w:val="none"/>
              </w:rPr>
              <w:t>投资者关系活动主要内容介绍</w:t>
            </w:r>
          </w:p>
        </w:tc>
        <w:tc>
          <w:tcPr>
            <w:tcW w:w="7735" w:type="dxa"/>
            <w:tcBorders>
              <w:top w:val="single" w:color="auto" w:sz="4" w:space="0"/>
              <w:left w:val="single" w:color="auto" w:sz="4" w:space="0"/>
              <w:bottom w:val="single" w:color="auto" w:sz="4" w:space="0"/>
              <w:right w:val="single" w:color="auto" w:sz="4" w:space="0"/>
            </w:tcBorders>
            <w:vAlign w:val="top"/>
          </w:tcPr>
          <w:p>
            <w:pPr>
              <w:spacing w:line="360" w:lineRule="auto"/>
              <w:ind w:firstLine="482" w:firstLineChars="200"/>
              <w:rPr>
                <w:b/>
                <w:bCs/>
                <w:kern w:val="0"/>
                <w:sz w:val="24"/>
                <w:highlight w:val="none"/>
              </w:rPr>
            </w:pPr>
            <w:r>
              <w:rPr>
                <w:b/>
                <w:bCs/>
                <w:kern w:val="0"/>
                <w:sz w:val="24"/>
                <w:highlight w:val="none"/>
              </w:rPr>
              <w:t>1、介绍公司背景资质</w:t>
            </w:r>
            <w:r>
              <w:rPr>
                <w:rFonts w:hint="eastAsia"/>
                <w:b/>
                <w:bCs/>
                <w:kern w:val="0"/>
                <w:sz w:val="24"/>
                <w:highlight w:val="none"/>
              </w:rPr>
              <w:t>、</w:t>
            </w:r>
            <w:r>
              <w:rPr>
                <w:rFonts w:hint="eastAsia"/>
                <w:b/>
                <w:bCs/>
                <w:kern w:val="0"/>
                <w:sz w:val="24"/>
                <w:highlight w:val="none"/>
                <w:lang w:val="en-US" w:eastAsia="zh-CN"/>
              </w:rPr>
              <w:t>主要</w:t>
            </w:r>
            <w:r>
              <w:rPr>
                <w:b/>
                <w:bCs/>
                <w:kern w:val="0"/>
                <w:sz w:val="24"/>
                <w:highlight w:val="none"/>
              </w:rPr>
              <w:t>业务领域</w:t>
            </w:r>
            <w:r>
              <w:rPr>
                <w:rFonts w:hint="eastAsia"/>
                <w:b/>
                <w:bCs/>
                <w:kern w:val="0"/>
                <w:sz w:val="24"/>
                <w:highlight w:val="none"/>
              </w:rPr>
              <w:t>及</w:t>
            </w:r>
            <w:r>
              <w:rPr>
                <w:b/>
                <w:bCs/>
                <w:kern w:val="0"/>
                <w:sz w:val="24"/>
                <w:highlight w:val="none"/>
              </w:rPr>
              <w:t>改革调整思路</w:t>
            </w:r>
          </w:p>
          <w:p>
            <w:pPr>
              <w:spacing w:line="360" w:lineRule="auto"/>
              <w:ind w:firstLine="480" w:firstLineChars="200"/>
              <w:rPr>
                <w:rFonts w:hint="eastAsia"/>
                <w:kern w:val="0"/>
                <w:sz w:val="24"/>
                <w:highlight w:val="none"/>
                <w:lang w:eastAsia="zh-CN"/>
              </w:rPr>
            </w:pPr>
            <w:r>
              <w:rPr>
                <w:rFonts w:hint="eastAsia"/>
                <w:kern w:val="0"/>
                <w:sz w:val="24"/>
                <w:highlight w:val="none"/>
                <w:lang w:val="zh-CN"/>
              </w:rPr>
              <w:t>公司自成立以来，一直以先进金属材料及制品的研发、生产和销售为主业，是国内金属新材料行业的领军企业之一，也是国家高新技术企业</w:t>
            </w:r>
            <w:r>
              <w:rPr>
                <w:kern w:val="0"/>
                <w:sz w:val="24"/>
                <w:highlight w:val="none"/>
              </w:rPr>
              <w:t>。</w:t>
            </w:r>
            <w:r>
              <w:rPr>
                <w:rFonts w:hint="eastAsia"/>
                <w:kern w:val="0"/>
                <w:sz w:val="24"/>
                <w:highlight w:val="none"/>
              </w:rPr>
              <w:t>公司切实推进产业聚焦与取舍，明确在“十三五”期间以“先进功能材料及器件、特种粉末冶金材料及制品、高品质特钢及焊接材料、环保与高端科技服务业”四大板块作为核心业务板块</w:t>
            </w:r>
            <w:r>
              <w:rPr>
                <w:rFonts w:hint="eastAsia"/>
                <w:kern w:val="0"/>
                <w:sz w:val="24"/>
                <w:highlight w:val="none"/>
                <w:lang w:eastAsia="zh-CN"/>
              </w:rPr>
              <w:t>。</w:t>
            </w:r>
          </w:p>
          <w:p>
            <w:pPr>
              <w:spacing w:line="360" w:lineRule="auto"/>
              <w:ind w:firstLine="480" w:firstLineChars="200"/>
              <w:rPr>
                <w:rFonts w:hint="eastAsia"/>
                <w:kern w:val="0"/>
                <w:sz w:val="24"/>
                <w:highlight w:val="none"/>
                <w:lang w:eastAsia="zh-CN"/>
              </w:rPr>
            </w:pPr>
            <w:r>
              <w:rPr>
                <w:rFonts w:hint="eastAsia"/>
                <w:kern w:val="0"/>
                <w:sz w:val="24"/>
                <w:highlight w:val="none"/>
                <w:lang w:val="en-US" w:eastAsia="zh-CN"/>
              </w:rPr>
              <w:t>公司</w:t>
            </w:r>
            <w:r>
              <w:rPr>
                <w:rFonts w:hint="eastAsia"/>
                <w:kern w:val="0"/>
                <w:sz w:val="24"/>
                <w:highlight w:val="none"/>
                <w:lang w:eastAsia="zh-CN"/>
              </w:rPr>
              <w:t>“先进功能材料及器件”包含非晶带材、纳米晶材料、稀土永磁材料、精密软磁合金</w:t>
            </w:r>
            <w:r>
              <w:rPr>
                <w:rFonts w:hint="eastAsia"/>
                <w:kern w:val="0"/>
                <w:sz w:val="24"/>
                <w:highlight w:val="none"/>
                <w:lang w:val="en-US" w:eastAsia="zh-CN"/>
              </w:rPr>
              <w:t>等业务，对应的主要控股公司为安泰南瑞非晶科技有限责任公司、安泰非晶制品分公司、上海安泰至高非晶金属有限公司、安泰功能材料事业部</w:t>
            </w:r>
            <w:r>
              <w:rPr>
                <w:rFonts w:hint="eastAsia"/>
                <w:kern w:val="0"/>
                <w:sz w:val="24"/>
                <w:highlight w:val="none"/>
                <w:lang w:eastAsia="zh-CN"/>
              </w:rPr>
              <w:t>；“特种粉末冶金材料及制品”包含难熔材料、超硬材料、注射成形产品、雾化制粉</w:t>
            </w:r>
            <w:r>
              <w:rPr>
                <w:rFonts w:hint="eastAsia"/>
                <w:kern w:val="0"/>
                <w:sz w:val="24"/>
                <w:highlight w:val="none"/>
                <w:lang w:val="en-US" w:eastAsia="zh-CN"/>
              </w:rPr>
              <w:t>等业务，对应的主要控股公司分别为安泰天龙钨钼科技有限公司、北京安泰中科金属材料有限公司、北京安泰钢研超硬材料制品有限公司、深圳市安泰海美格金属有限公司、安泰(霸州)特种粉业有限公司</w:t>
            </w:r>
            <w:r>
              <w:rPr>
                <w:rFonts w:hint="eastAsia"/>
                <w:kern w:val="0"/>
                <w:sz w:val="24"/>
                <w:highlight w:val="none"/>
                <w:lang w:eastAsia="zh-CN"/>
              </w:rPr>
              <w:t>；“高品质特钢及焊接材料”包含高速工具钢、高端模具钢、焊接材料</w:t>
            </w:r>
            <w:r>
              <w:rPr>
                <w:rFonts w:hint="eastAsia"/>
                <w:kern w:val="0"/>
                <w:sz w:val="24"/>
                <w:highlight w:val="none"/>
                <w:lang w:val="en-US" w:eastAsia="zh-CN"/>
              </w:rPr>
              <w:t>等业务，对应的主要控股公司为河冶科技股份有限公司、天津市三英焊业有限责任公司</w:t>
            </w:r>
            <w:r>
              <w:rPr>
                <w:rFonts w:hint="eastAsia"/>
                <w:kern w:val="0"/>
                <w:sz w:val="24"/>
                <w:highlight w:val="none"/>
                <w:lang w:eastAsia="zh-CN"/>
              </w:rPr>
              <w:t>；“环保与高端科技服务业”包含环保装备与工程、孵化器厂房运营、投资等</w:t>
            </w:r>
            <w:r>
              <w:rPr>
                <w:rFonts w:hint="eastAsia"/>
                <w:kern w:val="0"/>
                <w:sz w:val="24"/>
                <w:highlight w:val="none"/>
                <w:lang w:val="en-US" w:eastAsia="zh-CN"/>
              </w:rPr>
              <w:t>业务，对应的主要控股公司为安泰环境工程技术有限公司、安泰创业投资(深圳)有限公司</w:t>
            </w:r>
            <w:r>
              <w:rPr>
                <w:rFonts w:hint="eastAsia"/>
                <w:kern w:val="0"/>
                <w:sz w:val="24"/>
                <w:highlight w:val="none"/>
                <w:lang w:eastAsia="zh-CN"/>
              </w:rPr>
              <w:t>。</w:t>
            </w:r>
          </w:p>
          <w:p>
            <w:pPr>
              <w:spacing w:line="360" w:lineRule="auto"/>
              <w:ind w:firstLine="480" w:firstLineChars="200"/>
              <w:rPr>
                <w:rFonts w:hint="eastAsia"/>
                <w:sz w:val="24"/>
                <w:highlight w:val="none"/>
              </w:rPr>
            </w:pPr>
            <w:r>
              <w:rPr>
                <w:rFonts w:hint="eastAsia"/>
                <w:sz w:val="24"/>
                <w:highlight w:val="none"/>
                <w:lang w:val="en-US" w:eastAsia="zh-CN"/>
              </w:rPr>
              <w:t>2</w:t>
            </w:r>
            <w:r>
              <w:rPr>
                <w:rFonts w:hint="eastAsia"/>
                <w:sz w:val="24"/>
                <w:highlight w:val="none"/>
              </w:rPr>
              <w:t>019年，公司通过各项结构调整，坚持取舍，合理布局，配套激励政策，实现“增量共享，共同发展”的目标。对重点企业、重点领域落实择优扶强，在人才引进、工资总额、双对标薪酬、投资需求等方面配置优势资源、配套政策支持；培育增量业务，积极寻找内外部机会，围绕增强核心竞争力，在做优做强上下大功夫。</w:t>
            </w:r>
          </w:p>
          <w:p>
            <w:pPr>
              <w:spacing w:line="360" w:lineRule="auto"/>
              <w:ind w:firstLine="482" w:firstLineChars="200"/>
              <w:rPr>
                <w:rFonts w:hint="eastAsia"/>
                <w:b/>
                <w:bCs/>
                <w:sz w:val="24"/>
                <w:szCs w:val="28"/>
                <w:highlight w:val="none"/>
                <w:lang w:val="en-US" w:eastAsia="zh-CN"/>
              </w:rPr>
            </w:pPr>
            <w:r>
              <w:rPr>
                <w:rFonts w:hint="eastAsia"/>
                <w:b/>
                <w:bCs/>
                <w:kern w:val="0"/>
                <w:sz w:val="24"/>
                <w:highlight w:val="none"/>
                <w:lang w:val="en-US" w:eastAsia="zh-CN"/>
              </w:rPr>
              <w:t>2</w:t>
            </w:r>
            <w:r>
              <w:rPr>
                <w:rFonts w:hint="eastAsia"/>
                <w:b/>
                <w:bCs/>
                <w:kern w:val="0"/>
                <w:sz w:val="24"/>
                <w:highlight w:val="none"/>
              </w:rPr>
              <w:t>、</w:t>
            </w:r>
            <w:r>
              <w:rPr>
                <w:rFonts w:hint="eastAsia"/>
                <w:b/>
                <w:bCs/>
                <w:sz w:val="24"/>
                <w:szCs w:val="28"/>
                <w:highlight w:val="none"/>
                <w:lang w:val="en-US" w:eastAsia="zh-CN"/>
              </w:rPr>
              <w:t>安泰环境相关业务情况</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公司成立于2015年，由安泰科技股份有限公司整合原粉末冶金事业部过滤材料分公司及工程技术事业部，同时全资收购宁波化工研究设计院有限公司组建而成，并作为安泰科技混合所有制改革试点单位，实现员工持股。</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公司以环境控制保护与清洁能源利用为宗旨，服务于包括传统能源及新能源领域的工业过滤净化工程、能源清洁化利用工程和氢能源与燃料电池等核心业务。公司从事先进多孔材料及元器件研发生产，以及多孔材料在气固液非均相系统中过滤、分离、浓缩和聚结等应用技术开发、成套装置设计制造；开展煤炭清洁综合利用、环境控制与治理、氢能利用等工程设计及总承包业务。</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公司主要围绕能源清洁化利用、清洁能源技术，具备从产品研发制造、装置配套、系统集成、工程设计及总承包能力的环境控制综合服务商，帮助工业领域实现过程清洁化、排放减量化、无害化、以及资源化再利用。</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安泰环境拥有一支氢能源与燃料电池开发利用相关的核心研发团队，具备氢能源“制取-储运-加注-应用”的相关工艺、材料及核心部件、系统装备的研发制造能力，具有在燃料电池关键材料及其制备技术的研发能力和产业转化经验，部分材料比如金属基的气体扩散层已经量产，在某些型号的燃料电池电堆、水电解制氢装置上有较好的应用。高比功率燃料电池电堆用金属双极板的开发也处于国内先进行列中。</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在制氢-加氢和氢气储运工程方面，安泰环境下属全资子公司具有设计和工程专业资质、丰富的项目设计和运维经验，可提供安全可靠、技术一流的制氢加氢关键设备、系统工程服务和运维服务支持等成套系统解决方案。</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2016年中国钢研作为主要牵头单位之一，和其他单位共同承担国家科技部新能源汽车重点专项，安泰环境作为中国钢研集团该课题的具体实施单位，目前各项研发工作正按计划推进，有望逐步推出相关转化成果，为行业发展输出先进可靠的技术和产品。</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2018年“中国氢能源与燃料电池产业创新战略联盟”成立，中国钢研集团是发起核心单位，也是联盟副理事长、联盟常务副秘书长单位。中国钢研科技集团有六位国内顶尖的院士、专家出任中国氢能联盟领导及专家委员，直接参与国家氢能和燃料电池产业战略顶层设计。安泰环境氢能及燃料电池专业团队作为主力军参与到“氢能源与燃料电池行业报告”、“国家氢能白皮书”等报告编制工作中，并正参与一些重点区域、省市的氢能生态系统建设和产业发展规划。</w:t>
            </w:r>
          </w:p>
          <w:p>
            <w:pPr>
              <w:spacing w:line="360" w:lineRule="auto"/>
              <w:ind w:firstLine="480" w:firstLineChars="200"/>
              <w:rPr>
                <w:rFonts w:hint="eastAsia"/>
                <w:b/>
                <w:bCs/>
                <w:kern w:val="0"/>
                <w:sz w:val="24"/>
                <w:highlight w:val="none"/>
              </w:rPr>
            </w:pPr>
            <w:r>
              <w:rPr>
                <w:rFonts w:hint="eastAsia"/>
                <w:sz w:val="24"/>
                <w:szCs w:val="28"/>
                <w:highlight w:val="none"/>
                <w:lang w:val="en-US" w:eastAsia="zh-CN"/>
              </w:rPr>
              <w:t>安泰环境是国内首家燃料电池关键材料量产企业，对标国际知名企业，国内领先，在石化、煤化、核电等能源领域成功实现金属过滤材料及装置国产化替代，某些产品市场占有率达90%，公司开发的金属膜净化元件和组件曾荣获“国家发明一等奖”。公司在氢能领域的优先发展目标为聚焦氢燃料电池关键材料研发和供氢系统建设，通过自主创新，掌握核心技术，成为具备国际竞争力的燃料电池和氢能生态系统解决方案的提供商。目前已完成燃料电池测试系统和组堆系统开发和建设，实现金属双极板的稳定生产和45kw级燃料电池电堆的制作，并联合承担科技部新能源汽车重大专项子课题“大功率燃料电池电堆技术研究与开发”。公司积极参与河北、山东、宁波多地政府的氢能规划，并充分发挥宁波化工院甲级资质参与了河北钢铁、北京冬奥会加氢站等示范项目工程建设。2019年，安泰科技七届董事会审议通过安泰环境增资扩股方案，为安泰环境解决业务快速发展所需的资金需求，有利于其补齐产能、研发短板，巩固和增强企业核心竞争力，保障安泰环境持续健康发展，这也是公司整合集团内外部优势资源、转变发展模式、加速产业重构的举措，为公司在氢能领域布局进一步创造了有利条件。</w:t>
            </w:r>
          </w:p>
          <w:p>
            <w:pPr>
              <w:spacing w:line="360" w:lineRule="auto"/>
              <w:ind w:firstLine="482" w:firstLineChars="200"/>
              <w:rPr>
                <w:rFonts w:hint="default" w:eastAsia="宋体"/>
                <w:b/>
                <w:bCs/>
                <w:kern w:val="0"/>
                <w:sz w:val="24"/>
                <w:highlight w:val="none"/>
                <w:lang w:val="en-US" w:eastAsia="zh-CN"/>
              </w:rPr>
            </w:pPr>
            <w:r>
              <w:rPr>
                <w:rFonts w:hint="eastAsia"/>
                <w:b/>
                <w:bCs/>
                <w:kern w:val="0"/>
                <w:sz w:val="24"/>
                <w:highlight w:val="none"/>
                <w:lang w:val="en-US" w:eastAsia="zh-CN"/>
              </w:rPr>
              <w:t>3、安泰科技收购爱科科技项目情况</w:t>
            </w:r>
          </w:p>
          <w:p>
            <w:pPr>
              <w:spacing w:line="360" w:lineRule="auto"/>
              <w:ind w:firstLine="480" w:firstLineChars="200"/>
              <w:rPr>
                <w:rFonts w:hint="eastAsia"/>
                <w:kern w:val="0"/>
                <w:sz w:val="24"/>
                <w:highlight w:val="none"/>
                <w:lang w:val="en-US" w:eastAsia="zh-CN"/>
              </w:rPr>
            </w:pPr>
            <w:r>
              <w:rPr>
                <w:rFonts w:hint="eastAsia"/>
                <w:kern w:val="0"/>
                <w:sz w:val="24"/>
                <w:highlight w:val="none"/>
              </w:rPr>
              <w:t>稀土永磁材料及制品是安泰科技磁材业务的重要组成部分，也是公司的核心业务之一</w:t>
            </w:r>
            <w:r>
              <w:rPr>
                <w:rFonts w:hint="eastAsia"/>
                <w:kern w:val="0"/>
                <w:sz w:val="24"/>
                <w:highlight w:val="none"/>
                <w:lang w:eastAsia="zh-CN"/>
              </w:rPr>
              <w:t>，</w:t>
            </w:r>
            <w:r>
              <w:rPr>
                <w:rFonts w:hint="eastAsia"/>
                <w:kern w:val="0"/>
                <w:sz w:val="24"/>
                <w:highlight w:val="none"/>
              </w:rPr>
              <w:t>公司磁性材料及制品主要应用于计算机、消费电子、各种电机、汽车</w:t>
            </w:r>
            <w:r>
              <w:rPr>
                <w:rFonts w:hint="eastAsia"/>
                <w:kern w:val="0"/>
                <w:sz w:val="24"/>
                <w:highlight w:val="none"/>
                <w:lang w:eastAsia="zh-CN"/>
              </w:rPr>
              <w:t>、</w:t>
            </w:r>
            <w:r>
              <w:rPr>
                <w:rFonts w:hint="eastAsia"/>
                <w:kern w:val="0"/>
                <w:sz w:val="24"/>
                <w:highlight w:val="none"/>
                <w:lang w:val="en-US" w:eastAsia="zh-CN"/>
              </w:rPr>
              <w:t>高端音响</w:t>
            </w:r>
            <w:r>
              <w:rPr>
                <w:rFonts w:hint="eastAsia"/>
                <w:kern w:val="0"/>
                <w:sz w:val="24"/>
                <w:highlight w:val="none"/>
              </w:rPr>
              <w:t>等中高端市场</w:t>
            </w:r>
            <w:r>
              <w:rPr>
                <w:rFonts w:hint="eastAsia"/>
                <w:kern w:val="0"/>
                <w:sz w:val="24"/>
                <w:highlight w:val="none"/>
                <w:lang w:eastAsia="zh-CN"/>
              </w:rPr>
              <w:t>，</w:t>
            </w:r>
            <w:r>
              <w:rPr>
                <w:rFonts w:hint="eastAsia"/>
                <w:kern w:val="0"/>
                <w:sz w:val="24"/>
                <w:highlight w:val="none"/>
                <w:lang w:val="en-US" w:eastAsia="zh-CN"/>
              </w:rPr>
              <w:t>公司稀土永磁制品产能约2500-3000吨/年。钕铁硼磁性材料已具备较强的产品开发能力、较强的市场开拓能力，所生产的高端钕铁硼磁性材料已经应用在高档消费电子（包括 VCM）、工业电机和汽车等重要领域，并取得了许多重要用户行业、国际主流客户的认证。</w:t>
            </w:r>
          </w:p>
          <w:p>
            <w:pPr>
              <w:spacing w:line="360" w:lineRule="auto"/>
              <w:ind w:firstLine="480" w:firstLineChars="200"/>
              <w:rPr>
                <w:rFonts w:hint="eastAsia"/>
                <w:kern w:val="0"/>
                <w:sz w:val="24"/>
                <w:highlight w:val="none"/>
              </w:rPr>
            </w:pPr>
            <w:r>
              <w:rPr>
                <w:rFonts w:hint="eastAsia"/>
                <w:kern w:val="0"/>
                <w:sz w:val="24"/>
                <w:highlight w:val="none"/>
                <w:lang w:val="en-US" w:eastAsia="zh-CN"/>
              </w:rPr>
              <w:t>目前，</w:t>
            </w:r>
            <w:r>
              <w:rPr>
                <w:rFonts w:hint="eastAsia"/>
                <w:kern w:val="0"/>
                <w:sz w:val="24"/>
                <w:highlight w:val="none"/>
              </w:rPr>
              <w:t>公司稀土永磁产业产能瓶颈凸显，内部产能挖潜已接近极限，</w:t>
            </w:r>
            <w:r>
              <w:rPr>
                <w:rFonts w:hint="eastAsia"/>
                <w:kern w:val="0"/>
                <w:sz w:val="24"/>
                <w:highlight w:val="none"/>
                <w:lang w:val="en-US" w:eastAsia="zh-CN"/>
              </w:rPr>
              <w:t>为</w:t>
            </w:r>
            <w:r>
              <w:rPr>
                <w:rFonts w:hint="eastAsia"/>
                <w:kern w:val="0"/>
                <w:sz w:val="24"/>
                <w:highlight w:val="none"/>
              </w:rPr>
              <w:t>快速有效解决公司产能瓶颈，提高公司产品在高端应用领域与高性能市场占有率的同时，扩大市场影响力和话语权，为公司稀土永磁产业长远持续经营预留充足的发展空间</w:t>
            </w:r>
            <w:r>
              <w:rPr>
                <w:rFonts w:hint="eastAsia"/>
                <w:kern w:val="0"/>
                <w:sz w:val="24"/>
                <w:highlight w:val="none"/>
                <w:lang w:eastAsia="zh-CN"/>
              </w:rPr>
              <w:t>，</w:t>
            </w:r>
            <w:r>
              <w:rPr>
                <w:rFonts w:hint="eastAsia" w:ascii="Times New Roman" w:hAnsi="Times New Roman" w:cs="Times New Roman"/>
                <w:sz w:val="24"/>
                <w:szCs w:val="24"/>
                <w:highlight w:val="none"/>
                <w:lang w:val="en-US" w:eastAsia="zh-CN"/>
              </w:rPr>
              <w:t>2019年8月29日公司召开第七届董事会第十一次会议，审议通过了《关于通过受让股权和增资并购爱科科技有限公司项目的议案》</w:t>
            </w:r>
            <w:r>
              <w:rPr>
                <w:rFonts w:hint="eastAsia"/>
                <w:kern w:val="0"/>
                <w:sz w:val="24"/>
                <w:highlight w:val="none"/>
              </w:rPr>
              <w:t>，公司以自有资金17,895.75万元通过受让股权和增资的方式取得爱科科技有限公司50.26%的股权，其中收购股权对价7,895.75万元，现金增资10,000万元</w:t>
            </w:r>
            <w:r>
              <w:rPr>
                <w:rFonts w:hint="eastAsia"/>
                <w:kern w:val="0"/>
                <w:sz w:val="24"/>
                <w:highlight w:val="none"/>
                <w:lang w:eastAsia="zh-CN"/>
              </w:rPr>
              <w:t>；同步引入战略投资者，整合各方资源、优化业务组合，充分利用公司人才、技术优势，以及爱科科技</w:t>
            </w:r>
            <w:r>
              <w:rPr>
                <w:rFonts w:hint="eastAsia"/>
                <w:kern w:val="0"/>
                <w:sz w:val="24"/>
                <w:highlight w:val="none"/>
                <w:lang w:val="en-US" w:eastAsia="zh-CN"/>
              </w:rPr>
              <w:t>有限公司</w:t>
            </w:r>
            <w:r>
              <w:rPr>
                <w:rFonts w:hint="eastAsia"/>
                <w:kern w:val="0"/>
                <w:sz w:val="24"/>
                <w:highlight w:val="none"/>
                <w:lang w:eastAsia="zh-CN"/>
              </w:rPr>
              <w:t>生产资源和能力优势，发挥协同效应，短期内快速提升钕铁硼成品转化能力，提高产品毛利率，释放产能和利润贡献；同时在爱科科技</w:t>
            </w:r>
            <w:r>
              <w:rPr>
                <w:rFonts w:hint="eastAsia"/>
                <w:kern w:val="0"/>
                <w:sz w:val="24"/>
                <w:highlight w:val="none"/>
                <w:lang w:val="en-US" w:eastAsia="zh-CN"/>
              </w:rPr>
              <w:t>有限公司</w:t>
            </w:r>
            <w:r>
              <w:rPr>
                <w:rFonts w:hint="eastAsia"/>
                <w:kern w:val="0"/>
                <w:sz w:val="24"/>
                <w:highlight w:val="none"/>
                <w:lang w:eastAsia="zh-CN"/>
              </w:rPr>
              <w:t>现有生产资源和电镀能力的基础上，通过技术改造将爱科科技的生产能力扩大，安泰科技整体钕铁硼毛坯总产能将达到5500t/a，有效缓解产能瓶颈，进一步释放规模效应，使安泰科技稀土永磁业务产品供给能力与市场竞争力进一步提高，整体实力和市场地位将显著提升，为公司实现进入世界钕铁硼生产第一集团的目标奠定基础。</w:t>
            </w:r>
            <w:r>
              <w:rPr>
                <w:rFonts w:hint="eastAsia"/>
                <w:kern w:val="0"/>
                <w:sz w:val="24"/>
                <w:highlight w:val="none"/>
                <w:lang w:val="en-US" w:eastAsia="zh-CN"/>
              </w:rPr>
              <w:t>详见公司2019年8月31日在巨潮资讯网披露的《安泰科技股份有限公司关于通过受让股权和增资并购爱科科技有限公司项目的公告》。</w:t>
            </w:r>
          </w:p>
          <w:p>
            <w:pPr>
              <w:spacing w:line="360" w:lineRule="auto"/>
              <w:ind w:firstLine="482" w:firstLineChars="200"/>
              <w:rPr>
                <w:rFonts w:hint="eastAsia" w:eastAsia="宋体"/>
                <w:b/>
                <w:bCs/>
                <w:kern w:val="0"/>
                <w:sz w:val="24"/>
                <w:highlight w:val="none"/>
                <w:lang w:val="en-US" w:eastAsia="zh-CN"/>
              </w:rPr>
            </w:pPr>
            <w:r>
              <w:rPr>
                <w:rFonts w:hint="eastAsia"/>
                <w:b/>
                <w:bCs/>
                <w:kern w:val="0"/>
                <w:sz w:val="24"/>
                <w:highlight w:val="none"/>
                <w:lang w:val="en-US" w:eastAsia="zh-CN"/>
              </w:rPr>
              <w:t>4、安泰天龙业务情况</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安泰天龙是安泰科技中专业从事难熔金属材料研究、制造和服务的业务单元，承接了中国钢研科技集团在这一领域六十多年不懈耕耘和北京天龙近二十年快速发展所积累的成果，是央企发挥自身优势、整合社会资源、创新发展机制的典范，为中国钨钼材料精深加工产业避免重复建设、杜绝恶性竞争、形成发展合力、走向国际高端做出了卓越贡献。</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安泰天龙作为国内钨钼材料精深加工领域的领军企业，产品服务</w:t>
            </w:r>
          </w:p>
          <w:p>
            <w:pPr>
              <w:spacing w:line="360" w:lineRule="auto"/>
              <w:rPr>
                <w:rFonts w:hint="eastAsia"/>
                <w:kern w:val="0"/>
                <w:sz w:val="24"/>
                <w:highlight w:val="none"/>
                <w:lang w:val="en-US" w:eastAsia="zh-CN"/>
              </w:rPr>
            </w:pPr>
            <w:r>
              <w:rPr>
                <w:rFonts w:hint="eastAsia"/>
                <w:kern w:val="0"/>
                <w:sz w:val="24"/>
                <w:highlight w:val="none"/>
                <w:lang w:val="en-US" w:eastAsia="zh-CN"/>
              </w:rPr>
              <w:t>国内和全球高端市场和大科技工程。产品主要应用于航空航天、军工、核电、太阳能、半导体、电力电子、高端医疗装备、新能源汽车等领域。</w:t>
            </w:r>
          </w:p>
          <w:p>
            <w:pPr>
              <w:spacing w:line="360" w:lineRule="auto"/>
              <w:ind w:firstLine="480" w:firstLineChars="200"/>
              <w:rPr>
                <w:rFonts w:hint="default"/>
                <w:kern w:val="0"/>
                <w:sz w:val="24"/>
                <w:highlight w:val="none"/>
                <w:lang w:val="en-US" w:eastAsia="zh-CN"/>
              </w:rPr>
            </w:pPr>
            <w:r>
              <w:rPr>
                <w:rFonts w:hint="eastAsia"/>
                <w:kern w:val="0"/>
                <w:sz w:val="24"/>
                <w:highlight w:val="none"/>
                <w:lang w:val="en-US" w:eastAsia="zh-CN"/>
              </w:rPr>
              <w:t>航空航天方面，钨、钼精深加工产品用于飞机、火箭的推进系统中，以保证机械系统良好的耐腐蚀性，同时能降低能耗。医疗器械方面，利用钨基高比重合金对X射线的强衰减能力，可将钨、钼精深加工产品用做各种放射性源的屏蔽元件或容器。钨电极及高压开关方面，利用钨电极起弧性能好，弧柱稳定性高，电极烧损率小的特点，可将钨铜合金用作高中压开关或断路器的弧触头和真空触头，钍钨电极因起弧性能好主要应用在焊接上。2019年，安泰天龙克服国内外经济下行压力和中美贸易摩擦不利的影响，实施产品结构调整，向核医疗、微电子等高端业务发展。</w:t>
            </w:r>
          </w:p>
          <w:p>
            <w:pPr>
              <w:numPr>
                <w:ilvl w:val="0"/>
                <w:numId w:val="1"/>
              </w:numPr>
              <w:spacing w:line="360" w:lineRule="auto"/>
              <w:ind w:firstLine="482" w:firstLineChars="200"/>
              <w:rPr>
                <w:rFonts w:hint="eastAsia"/>
                <w:b/>
                <w:bCs/>
                <w:sz w:val="24"/>
                <w:szCs w:val="28"/>
                <w:highlight w:val="none"/>
                <w:lang w:val="en-US" w:eastAsia="zh-CN"/>
              </w:rPr>
            </w:pPr>
            <w:r>
              <w:rPr>
                <w:rFonts w:hint="eastAsia"/>
                <w:b/>
                <w:bCs/>
                <w:sz w:val="24"/>
                <w:szCs w:val="28"/>
                <w:highlight w:val="none"/>
                <w:lang w:val="en-US" w:eastAsia="zh-CN"/>
              </w:rPr>
              <w:t>河冶科技业务情况</w:t>
            </w:r>
          </w:p>
          <w:p>
            <w:pPr>
              <w:spacing w:line="360" w:lineRule="auto"/>
              <w:ind w:firstLine="480" w:firstLineChars="200"/>
              <w:rPr>
                <w:rFonts w:hint="eastAsia" w:ascii="Times New Roman" w:hAnsi="Times New Roman" w:cs="Times New Roman"/>
                <w:kern w:val="0"/>
                <w:sz w:val="24"/>
                <w:highlight w:val="none"/>
                <w:lang w:val="en-US" w:eastAsia="zh-CN"/>
              </w:rPr>
            </w:pPr>
            <w:r>
              <w:rPr>
                <w:rFonts w:hint="eastAsia" w:ascii="Times New Roman" w:hAnsi="Times New Roman" w:cs="Times New Roman"/>
                <w:kern w:val="0"/>
                <w:sz w:val="24"/>
                <w:highlight w:val="none"/>
                <w:lang w:val="en-US" w:eastAsia="zh-CN"/>
              </w:rPr>
              <w:t>河冶科技是公司控股的中外合资股份制企业，主要股东有安泰科技、日本住友商事株式会社、中国钢研科技集团有限公司等。</w:t>
            </w:r>
          </w:p>
          <w:p>
            <w:pPr>
              <w:spacing w:line="360" w:lineRule="auto"/>
              <w:ind w:firstLine="480" w:firstLineChars="200"/>
              <w:rPr>
                <w:rFonts w:hint="default"/>
                <w:b/>
                <w:bCs/>
                <w:sz w:val="24"/>
                <w:szCs w:val="28"/>
                <w:highlight w:val="none"/>
                <w:lang w:val="en-US" w:eastAsia="zh-CN"/>
              </w:rPr>
            </w:pPr>
            <w:r>
              <w:rPr>
                <w:rFonts w:hint="eastAsia" w:ascii="Times New Roman" w:hAnsi="Times New Roman" w:cs="Times New Roman"/>
                <w:kern w:val="0"/>
                <w:sz w:val="24"/>
                <w:highlight w:val="none"/>
                <w:lang w:val="en-US" w:eastAsia="zh-CN"/>
              </w:rPr>
              <w:t>河冶科技产品按材料类别分为刀具材料（粉末、喷射、传统）、高端模具材料、关键零部件材料三大类；按产品形态分为银亮棒材、异型材、丝材以及锻件等八个系列近千个规格，并可根据顾客需要提供锻制、挤压、焊接类近终成型刀具或零部件毛坯。河冶科技材料产品广泛用于机床工具、模具、汽车、航空、船舶、军工、冶金、汽轮机等行业。2019年，河冶科技进一步推进产品结构调整，提升高性能钢占比，同时持续加强生产环境改善，进入河北省正面清单企业，确保生产的连续和稳定。</w:t>
            </w:r>
            <w:bookmarkStart w:id="0" w:name="_GoBack"/>
            <w:bookmarkEnd w:id="0"/>
          </w:p>
          <w:p>
            <w:pPr>
              <w:spacing w:line="360" w:lineRule="auto"/>
              <w:ind w:firstLine="480" w:firstLineChars="200"/>
              <w:rPr>
                <w:kern w:val="0"/>
                <w:sz w:val="24"/>
                <w:highlight w:val="none"/>
              </w:rPr>
            </w:pPr>
            <w:r>
              <w:rPr>
                <w:kern w:val="0"/>
                <w:sz w:val="24"/>
                <w:highlight w:val="none"/>
              </w:rPr>
              <w:t>本次接待过程中，公司与投资者进行了交流与沟通，严格依照《信息披露管理制度》等规定执行，保证信息披露的真实、准确、完整、及时、公平，未出现未公开重大信息泄露等情况，同时已按深交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auto"/>
              <w:rPr>
                <w:bCs/>
                <w:iCs/>
                <w:sz w:val="24"/>
                <w:highlight w:val="none"/>
              </w:rPr>
            </w:pPr>
            <w:r>
              <w:rPr>
                <w:bCs/>
                <w:iCs/>
                <w:sz w:val="24"/>
                <w:highlight w:val="none"/>
              </w:rPr>
              <w:t>附件清单（如有）</w:t>
            </w:r>
          </w:p>
        </w:tc>
        <w:tc>
          <w:tcPr>
            <w:tcW w:w="7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highlight w:val="none"/>
              </w:rPr>
            </w:pPr>
            <w:r>
              <w:rPr>
                <w:bCs/>
                <w:iCs/>
                <w:sz w:val="24"/>
                <w:highlight w:val="none"/>
              </w:rPr>
              <w:t>公司简介（</w:t>
            </w:r>
            <w:r>
              <w:rPr>
                <w:rFonts w:hint="eastAsia"/>
                <w:bCs/>
                <w:iCs/>
                <w:sz w:val="24"/>
                <w:highlight w:val="none"/>
                <w:lang w:val="en-US" w:eastAsia="zh-CN"/>
              </w:rPr>
              <w:t>摘自</w:t>
            </w:r>
            <w:r>
              <w:rPr>
                <w:bCs/>
                <w:iCs/>
                <w:sz w:val="24"/>
                <w:highlight w:val="none"/>
              </w:rPr>
              <w:t>公司网站</w:t>
            </w:r>
            <w:r>
              <w:rPr>
                <w:bCs/>
                <w:iCs/>
                <w:sz w:val="24"/>
                <w:highlight w:val="none"/>
              </w:rPr>
              <w:fldChar w:fldCharType="begin"/>
            </w:r>
            <w:r>
              <w:rPr>
                <w:bCs/>
                <w:iCs/>
                <w:sz w:val="24"/>
                <w:highlight w:val="none"/>
              </w:rPr>
              <w:instrText xml:space="preserve"> HYPERLINK "http://www.atmcn.com" </w:instrText>
            </w:r>
            <w:r>
              <w:rPr>
                <w:bCs/>
                <w:iCs/>
                <w:sz w:val="24"/>
                <w:highlight w:val="none"/>
              </w:rPr>
              <w:fldChar w:fldCharType="separate"/>
            </w:r>
            <w:r>
              <w:rPr>
                <w:rStyle w:val="10"/>
                <w:bCs/>
                <w:iCs/>
                <w:color w:val="auto"/>
                <w:sz w:val="24"/>
                <w:highlight w:val="none"/>
              </w:rPr>
              <w:t>www.atmcn.com</w:t>
            </w:r>
            <w:r>
              <w:rPr>
                <w:bCs/>
                <w:iCs/>
                <w:sz w:val="24"/>
                <w:highlight w:val="none"/>
              </w:rPr>
              <w:fldChar w:fldCharType="end"/>
            </w:r>
            <w:r>
              <w:rPr>
                <w:rFonts w:hint="eastAsia"/>
                <w:bCs/>
                <w:iCs/>
                <w:sz w:val="24"/>
                <w:highlight w:val="none"/>
                <w:lang w:val="en-US" w:eastAsia="zh-CN"/>
              </w:rPr>
              <w:t>的相关业务介绍</w:t>
            </w:r>
            <w:r>
              <w:rPr>
                <w:bCs/>
                <w:i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rPr>
                <w:bCs/>
                <w:iCs/>
                <w:sz w:val="24"/>
                <w:highlight w:val="none"/>
              </w:rPr>
            </w:pPr>
            <w:r>
              <w:rPr>
                <w:rFonts w:hint="eastAsia"/>
                <w:bCs/>
                <w:iCs/>
                <w:sz w:val="24"/>
                <w:highlight w:val="none"/>
                <w:lang w:val="en-US" w:eastAsia="zh-CN"/>
              </w:rPr>
              <w:t>披露</w:t>
            </w:r>
            <w:r>
              <w:rPr>
                <w:bCs/>
                <w:iCs/>
                <w:sz w:val="24"/>
                <w:highlight w:val="none"/>
              </w:rPr>
              <w:t>日期</w:t>
            </w:r>
          </w:p>
        </w:tc>
        <w:tc>
          <w:tcPr>
            <w:tcW w:w="7735"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20</w:t>
            </w:r>
            <w:r>
              <w:rPr>
                <w:rFonts w:hint="eastAsia"/>
                <w:bCs/>
                <w:iCs/>
                <w:sz w:val="24"/>
                <w:highlight w:val="none"/>
                <w:lang w:val="en-US" w:eastAsia="zh-CN"/>
              </w:rPr>
              <w:t>20</w:t>
            </w:r>
            <w:r>
              <w:rPr>
                <w:bCs/>
                <w:iCs/>
                <w:sz w:val="24"/>
                <w:highlight w:val="none"/>
              </w:rPr>
              <w:t>年</w:t>
            </w:r>
            <w:r>
              <w:rPr>
                <w:rFonts w:hint="eastAsia"/>
                <w:bCs/>
                <w:iCs/>
                <w:sz w:val="24"/>
                <w:highlight w:val="none"/>
                <w:lang w:val="en-US" w:eastAsia="zh-CN"/>
              </w:rPr>
              <w:t>1</w:t>
            </w:r>
            <w:r>
              <w:rPr>
                <w:bCs/>
                <w:iCs/>
                <w:sz w:val="24"/>
                <w:highlight w:val="none"/>
              </w:rPr>
              <w:t>月</w:t>
            </w:r>
            <w:r>
              <w:rPr>
                <w:rFonts w:hint="eastAsia"/>
                <w:bCs/>
                <w:iCs/>
                <w:sz w:val="24"/>
                <w:highlight w:val="none"/>
                <w:lang w:val="en-US" w:eastAsia="zh-CN"/>
              </w:rPr>
              <w:t>15</w:t>
            </w:r>
            <w:r>
              <w:rPr>
                <w:bCs/>
                <w:iCs/>
                <w:sz w:val="24"/>
                <w:highlight w:val="none"/>
              </w:rPr>
              <w:t>日</w:t>
            </w:r>
          </w:p>
        </w:tc>
      </w:tr>
    </w:tbl>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8B64"/>
    <w:multiLevelType w:val="singleLevel"/>
    <w:tmpl w:val="5B9C8B64"/>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E5F82"/>
    <w:rsid w:val="0247309C"/>
    <w:rsid w:val="028909BA"/>
    <w:rsid w:val="02D817A3"/>
    <w:rsid w:val="03055D87"/>
    <w:rsid w:val="035D650A"/>
    <w:rsid w:val="038F2C36"/>
    <w:rsid w:val="044F12AB"/>
    <w:rsid w:val="081D450A"/>
    <w:rsid w:val="09333F26"/>
    <w:rsid w:val="0CAA4C53"/>
    <w:rsid w:val="0DF56D05"/>
    <w:rsid w:val="10D34D09"/>
    <w:rsid w:val="134C65D3"/>
    <w:rsid w:val="14814475"/>
    <w:rsid w:val="156A2A07"/>
    <w:rsid w:val="17C32106"/>
    <w:rsid w:val="1DDC5758"/>
    <w:rsid w:val="1E737FB1"/>
    <w:rsid w:val="205040CE"/>
    <w:rsid w:val="2068067E"/>
    <w:rsid w:val="211F3DFC"/>
    <w:rsid w:val="24252CEB"/>
    <w:rsid w:val="244850FE"/>
    <w:rsid w:val="274069CE"/>
    <w:rsid w:val="274E5F82"/>
    <w:rsid w:val="28A97DB0"/>
    <w:rsid w:val="293621FD"/>
    <w:rsid w:val="2A813F8A"/>
    <w:rsid w:val="2C763504"/>
    <w:rsid w:val="2C8809FB"/>
    <w:rsid w:val="2E522C15"/>
    <w:rsid w:val="2EBA41E4"/>
    <w:rsid w:val="30CB277C"/>
    <w:rsid w:val="30DD2369"/>
    <w:rsid w:val="30ED3589"/>
    <w:rsid w:val="325A2AFD"/>
    <w:rsid w:val="348727E4"/>
    <w:rsid w:val="35DE3E2F"/>
    <w:rsid w:val="38E81805"/>
    <w:rsid w:val="3C822C00"/>
    <w:rsid w:val="3DAF1992"/>
    <w:rsid w:val="3FAE04E1"/>
    <w:rsid w:val="401C0D0B"/>
    <w:rsid w:val="41741B70"/>
    <w:rsid w:val="43B1661B"/>
    <w:rsid w:val="43EB53CA"/>
    <w:rsid w:val="46DC592E"/>
    <w:rsid w:val="474A6FD5"/>
    <w:rsid w:val="4A957F38"/>
    <w:rsid w:val="4AD5306B"/>
    <w:rsid w:val="4BC51E07"/>
    <w:rsid w:val="4BFF143B"/>
    <w:rsid w:val="4C242847"/>
    <w:rsid w:val="4C605035"/>
    <w:rsid w:val="4D0E6C0E"/>
    <w:rsid w:val="4E8673BB"/>
    <w:rsid w:val="54291DD1"/>
    <w:rsid w:val="54F655AE"/>
    <w:rsid w:val="5543531D"/>
    <w:rsid w:val="573C5734"/>
    <w:rsid w:val="576E0A01"/>
    <w:rsid w:val="57733A20"/>
    <w:rsid w:val="590E2397"/>
    <w:rsid w:val="593F4B04"/>
    <w:rsid w:val="5B1F5247"/>
    <w:rsid w:val="5C4D39E6"/>
    <w:rsid w:val="5C6B5591"/>
    <w:rsid w:val="5CA23B87"/>
    <w:rsid w:val="5D0F5A4C"/>
    <w:rsid w:val="62762D19"/>
    <w:rsid w:val="632C764E"/>
    <w:rsid w:val="672C74D4"/>
    <w:rsid w:val="672E23DB"/>
    <w:rsid w:val="6B110397"/>
    <w:rsid w:val="6B7C318A"/>
    <w:rsid w:val="6C300228"/>
    <w:rsid w:val="6CA72073"/>
    <w:rsid w:val="6CDF413F"/>
    <w:rsid w:val="6E233647"/>
    <w:rsid w:val="6E2470AB"/>
    <w:rsid w:val="6F522E8B"/>
    <w:rsid w:val="70DF18E1"/>
    <w:rsid w:val="70F36C2A"/>
    <w:rsid w:val="7150505B"/>
    <w:rsid w:val="71DD6F7F"/>
    <w:rsid w:val="72DC5AFA"/>
    <w:rsid w:val="73602F73"/>
    <w:rsid w:val="740C6D85"/>
    <w:rsid w:val="7589019F"/>
    <w:rsid w:val="76F903A0"/>
    <w:rsid w:val="79DF2D2C"/>
    <w:rsid w:val="7AB95EB1"/>
    <w:rsid w:val="7BC635A1"/>
    <w:rsid w:val="7DDC2A32"/>
    <w:rsid w:val="7F0A6E0D"/>
    <w:rsid w:val="7F17259D"/>
    <w:rsid w:val="7FE229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rPr>
      <w:sz w:val="18"/>
      <w:szCs w:val="20"/>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Char Char5"/>
    <w:basedOn w:val="1"/>
    <w:link w:val="6"/>
    <w:qFormat/>
    <w:uiPriority w:val="0"/>
    <w:pPr>
      <w:tabs>
        <w:tab w:val="left" w:pos="1320"/>
      </w:tabs>
      <w:ind w:left="425" w:hanging="425"/>
    </w:pPr>
    <w:rPr>
      <w:sz w:val="18"/>
      <w:szCs w:val="20"/>
    </w:rPr>
  </w:style>
  <w:style w:type="character" w:styleId="8">
    <w:name w:val="page number"/>
    <w:basedOn w:val="6"/>
    <w:qFormat/>
    <w:uiPriority w:val="0"/>
  </w:style>
  <w:style w:type="character" w:styleId="9">
    <w:name w:val="FollowedHyperlink"/>
    <w:basedOn w:val="6"/>
    <w:qFormat/>
    <w:uiPriority w:val="0"/>
    <w:rPr>
      <w:color w:val="000000"/>
      <w:u w:val="none"/>
    </w:rPr>
  </w:style>
  <w:style w:type="character" w:styleId="10">
    <w:name w:val="Hyperlink"/>
    <w:basedOn w:val="6"/>
    <w:qFormat/>
    <w:uiPriority w:val="0"/>
    <w:rPr>
      <w:color w:val="000000"/>
      <w:u w:val="none"/>
    </w:rPr>
  </w:style>
  <w:style w:type="character" w:customStyle="1" w:styleId="11">
    <w:name w:val="black"/>
    <w:basedOn w:val="6"/>
    <w:qFormat/>
    <w:uiPriority w:val="0"/>
    <w:rPr>
      <w:color w:val="000000"/>
      <w:u w:val="single"/>
    </w:rPr>
  </w:style>
  <w:style w:type="character" w:customStyle="1" w:styleId="12">
    <w:name w:val="blue"/>
    <w:basedOn w:val="6"/>
    <w:qFormat/>
    <w:uiPriority w:val="0"/>
    <w:rPr>
      <w:color w:val="173EE8"/>
      <w:u w:val="single"/>
    </w:rPr>
  </w:style>
  <w:style w:type="character" w:customStyle="1" w:styleId="13">
    <w:name w:val="blue-n"/>
    <w:basedOn w:val="6"/>
    <w:qFormat/>
    <w:uiPriority w:val="0"/>
    <w:rPr>
      <w:color w:val="173EE8"/>
      <w:u w:val="none"/>
    </w:rPr>
  </w:style>
  <w:style w:type="character" w:customStyle="1" w:styleId="14">
    <w:name w:val="blue-n1"/>
    <w:basedOn w:val="6"/>
    <w:qFormat/>
    <w:uiPriority w:val="0"/>
    <w:rPr>
      <w:color w:val="000000"/>
      <w:u w:val="single"/>
    </w:rPr>
  </w:style>
  <w:style w:type="character" w:customStyle="1" w:styleId="15">
    <w:name w:val="red-n"/>
    <w:basedOn w:val="6"/>
    <w:qFormat/>
    <w:uiPriority w:val="0"/>
    <w:rPr>
      <w:color w:val="CC0000"/>
      <w:u w:val="none"/>
    </w:rPr>
  </w:style>
  <w:style w:type="character" w:customStyle="1" w:styleId="16">
    <w:name w:val="red-n1"/>
    <w:basedOn w:val="6"/>
    <w:qFormat/>
    <w:uiPriority w:val="0"/>
    <w:rPr>
      <w:color w:val="CC0000"/>
    </w:rPr>
  </w:style>
  <w:style w:type="character" w:customStyle="1" w:styleId="17">
    <w:name w:val="black-n"/>
    <w:basedOn w:val="6"/>
    <w:qFormat/>
    <w:uiPriority w:val="0"/>
    <w:rPr>
      <w:color w:val="000000"/>
      <w:u w:val="none"/>
    </w:rPr>
  </w:style>
  <w:style w:type="character" w:customStyle="1" w:styleId="18">
    <w:name w:val="black-n1"/>
    <w:basedOn w:val="6"/>
    <w:qFormat/>
    <w:uiPriority w:val="0"/>
    <w:rPr>
      <w:color w:val="000000"/>
    </w:rPr>
  </w:style>
  <w:style w:type="character" w:customStyle="1" w:styleId="19">
    <w:name w:val="red"/>
    <w:basedOn w:val="6"/>
    <w:qFormat/>
    <w:uiPriority w:val="0"/>
    <w:rPr>
      <w:color w:val="CC0000"/>
      <w:u w:val="single"/>
    </w:rPr>
  </w:style>
  <w:style w:type="character" w:customStyle="1" w:styleId="20">
    <w:name w:val="red1"/>
    <w:basedOn w:val="6"/>
    <w:qFormat/>
    <w:uiPriority w:val="0"/>
    <w:rPr>
      <w:color w:val="CC0000"/>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2017-09-08T03:14:00Z</dcterms:created>
  <dc:creator>Rico Nie</dc:creator>
  <cp:lastModifiedBy>zhaochen</cp:lastModifiedBy>
  <dcterms:modified xsi:type="dcterms:W3CDTF">2020-02-14T08:13:52Z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