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DAFDC" w14:textId="77777777" w:rsidR="00244772" w:rsidRPr="00DB0316" w:rsidRDefault="00244772" w:rsidP="00244772">
      <w:pPr>
        <w:spacing w:beforeLines="50" w:before="156" w:afterLines="50" w:after="156" w:line="400" w:lineRule="exact"/>
        <w:rPr>
          <w:b/>
          <w:bCs/>
          <w:iCs/>
          <w:color w:val="000000"/>
          <w:sz w:val="24"/>
        </w:rPr>
      </w:pPr>
      <w:r w:rsidRPr="00DB0316">
        <w:rPr>
          <w:b/>
          <w:bCs/>
          <w:iCs/>
          <w:color w:val="000000"/>
          <w:sz w:val="24"/>
        </w:rPr>
        <w:t>证券代码：</w:t>
      </w:r>
      <w:r w:rsidRPr="00DB0316">
        <w:rPr>
          <w:b/>
          <w:bCs/>
          <w:iCs/>
          <w:color w:val="000000"/>
          <w:sz w:val="24"/>
        </w:rPr>
        <w:t xml:space="preserve">300577                                  </w:t>
      </w:r>
      <w:r w:rsidRPr="00DB0316">
        <w:rPr>
          <w:b/>
          <w:bCs/>
          <w:iCs/>
          <w:color w:val="000000"/>
          <w:sz w:val="24"/>
        </w:rPr>
        <w:t>证券简称：开润股份</w:t>
      </w:r>
    </w:p>
    <w:p w14:paraId="23D071A7" w14:textId="77777777" w:rsidR="00244772" w:rsidRPr="002F0A37"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安徽开润股份有限公司</w:t>
      </w:r>
    </w:p>
    <w:p w14:paraId="0EA4C845" w14:textId="77777777" w:rsidR="00244772" w:rsidRDefault="00244772" w:rsidP="00244772">
      <w:pPr>
        <w:spacing w:beforeLines="50" w:before="156" w:afterLines="50" w:after="156" w:line="400" w:lineRule="exact"/>
        <w:jc w:val="center"/>
        <w:rPr>
          <w:rFonts w:ascii="黑体" w:eastAsia="黑体" w:hAnsi="黑体"/>
          <w:b/>
          <w:bCs/>
          <w:iCs/>
          <w:color w:val="000000"/>
          <w:sz w:val="32"/>
          <w:szCs w:val="32"/>
        </w:rPr>
      </w:pPr>
      <w:r w:rsidRPr="002F0A37">
        <w:rPr>
          <w:rFonts w:ascii="黑体" w:eastAsia="黑体" w:hAnsi="黑体" w:hint="eastAsia"/>
          <w:b/>
          <w:bCs/>
          <w:iCs/>
          <w:color w:val="000000"/>
          <w:sz w:val="32"/>
          <w:szCs w:val="32"/>
        </w:rPr>
        <w:t>投资者关系活动记录表</w:t>
      </w:r>
    </w:p>
    <w:p w14:paraId="62A3C62C" w14:textId="77777777" w:rsidR="00244772" w:rsidRPr="00D21C4F" w:rsidRDefault="00244772" w:rsidP="00244772">
      <w:pPr>
        <w:spacing w:line="400" w:lineRule="exact"/>
        <w:rPr>
          <w:bCs/>
          <w:iCs/>
          <w:color w:val="000000"/>
          <w:sz w:val="24"/>
        </w:rPr>
      </w:pPr>
      <w:r w:rsidRPr="00D21C4F">
        <w:rPr>
          <w:bCs/>
          <w:iCs/>
          <w:color w:val="000000"/>
          <w:sz w:val="24"/>
        </w:rPr>
        <w:t xml:space="preserve">                                                       </w:t>
      </w:r>
      <w:r w:rsidRPr="00D21C4F">
        <w:rPr>
          <w:bCs/>
          <w:iCs/>
          <w:color w:val="000000"/>
          <w:sz w:val="24"/>
        </w:rPr>
        <w:t>编号：</w:t>
      </w:r>
      <w:r w:rsidRPr="00D21C4F">
        <w:rPr>
          <w:bCs/>
          <w:iCs/>
          <w:color w:val="000000"/>
          <w:sz w:val="24"/>
        </w:rPr>
        <w:t>20</w:t>
      </w:r>
      <w:r w:rsidR="00B6327A">
        <w:rPr>
          <w:bCs/>
          <w:iCs/>
          <w:color w:val="000000"/>
          <w:sz w:val="24"/>
        </w:rPr>
        <w:t>20</w:t>
      </w:r>
      <w:r w:rsidRPr="00D21C4F">
        <w:rPr>
          <w:bCs/>
          <w:iCs/>
          <w:color w:val="000000"/>
          <w:sz w:val="24"/>
        </w:rPr>
        <w:t>-</w:t>
      </w:r>
      <w:r w:rsidR="00802DC1" w:rsidRPr="00D21C4F">
        <w:rPr>
          <w:bCs/>
          <w:iCs/>
          <w:color w:val="000000"/>
          <w:sz w:val="24"/>
        </w:rPr>
        <w:t>00</w:t>
      </w:r>
      <w:r w:rsidR="00811C36">
        <w:rPr>
          <w:bCs/>
          <w:iCs/>
          <w:color w:val="000000"/>
          <w:sz w:val="24"/>
        </w:rPr>
        <w:t>3</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7807"/>
      </w:tblGrid>
      <w:tr w:rsidR="00244772" w14:paraId="56A011CF" w14:textId="77777777" w:rsidTr="00595043">
        <w:trPr>
          <w:trHeight w:val="2296"/>
        </w:trPr>
        <w:tc>
          <w:tcPr>
            <w:tcW w:w="1410" w:type="dxa"/>
            <w:vAlign w:val="center"/>
          </w:tcPr>
          <w:p w14:paraId="3FF66E49"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投资者关系活动类别</w:t>
            </w:r>
          </w:p>
        </w:tc>
        <w:tc>
          <w:tcPr>
            <w:tcW w:w="0" w:type="auto"/>
            <w:vAlign w:val="center"/>
          </w:tcPr>
          <w:p w14:paraId="6BF1BA5D"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特定对象调研        </w:t>
            </w:r>
            <w:r w:rsidRPr="005E239B">
              <w:rPr>
                <w:rFonts w:ascii="宋体" w:hAnsi="宋体" w:hint="eastAsia"/>
                <w:bCs/>
                <w:iCs/>
                <w:color w:val="000000"/>
                <w:kern w:val="0"/>
                <w:sz w:val="24"/>
              </w:rPr>
              <w:t>□</w:t>
            </w:r>
            <w:r w:rsidRPr="005E239B">
              <w:rPr>
                <w:rFonts w:ascii="宋体" w:hAnsi="宋体" w:hint="eastAsia"/>
                <w:kern w:val="0"/>
                <w:sz w:val="24"/>
              </w:rPr>
              <w:t>分析师会议</w:t>
            </w:r>
          </w:p>
          <w:p w14:paraId="3387657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媒体采访            </w:t>
            </w:r>
            <w:r w:rsidRPr="005E239B">
              <w:rPr>
                <w:rFonts w:ascii="宋体" w:hAnsi="宋体" w:hint="eastAsia"/>
                <w:bCs/>
                <w:iCs/>
                <w:color w:val="000000"/>
                <w:kern w:val="0"/>
                <w:sz w:val="24"/>
              </w:rPr>
              <w:t>□</w:t>
            </w:r>
            <w:r w:rsidRPr="005E239B">
              <w:rPr>
                <w:rFonts w:ascii="宋体" w:hAnsi="宋体" w:hint="eastAsia"/>
                <w:kern w:val="0"/>
                <w:sz w:val="24"/>
              </w:rPr>
              <w:t>业绩说明会</w:t>
            </w:r>
          </w:p>
          <w:p w14:paraId="6C4B6A01" w14:textId="77777777" w:rsidR="00244772" w:rsidRPr="005E239B" w:rsidRDefault="00244772" w:rsidP="000A510C">
            <w:pPr>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 xml:space="preserve">新闻发布会          </w:t>
            </w:r>
            <w:r w:rsidRPr="005E239B">
              <w:rPr>
                <w:rFonts w:ascii="宋体" w:hAnsi="宋体" w:hint="eastAsia"/>
                <w:bCs/>
                <w:iCs/>
                <w:color w:val="000000"/>
                <w:kern w:val="0"/>
                <w:sz w:val="24"/>
              </w:rPr>
              <w:t>□</w:t>
            </w:r>
            <w:r w:rsidRPr="005E239B">
              <w:rPr>
                <w:rFonts w:ascii="宋体" w:hAnsi="宋体" w:hint="eastAsia"/>
                <w:kern w:val="0"/>
                <w:sz w:val="24"/>
              </w:rPr>
              <w:t>路演活动</w:t>
            </w:r>
          </w:p>
          <w:p w14:paraId="242E8CEB" w14:textId="77777777" w:rsidR="00244772" w:rsidRPr="005E239B" w:rsidRDefault="00244772" w:rsidP="000A510C">
            <w:pPr>
              <w:tabs>
                <w:tab w:val="left" w:pos="3045"/>
                <w:tab w:val="center" w:pos="3199"/>
              </w:tabs>
              <w:spacing w:line="360" w:lineRule="auto"/>
              <w:ind w:left="420"/>
              <w:rPr>
                <w:rFonts w:ascii="宋体" w:hAnsi="宋体"/>
                <w:bCs/>
                <w:iCs/>
                <w:color w:val="000000"/>
                <w:kern w:val="0"/>
                <w:sz w:val="24"/>
              </w:rPr>
            </w:pPr>
            <w:r w:rsidRPr="005E239B">
              <w:rPr>
                <w:rFonts w:ascii="宋体" w:hAnsi="宋体" w:hint="eastAsia"/>
                <w:bCs/>
                <w:iCs/>
                <w:color w:val="000000"/>
                <w:kern w:val="0"/>
                <w:sz w:val="24"/>
              </w:rPr>
              <w:t>□</w:t>
            </w:r>
            <w:r w:rsidRPr="005E239B">
              <w:rPr>
                <w:rFonts w:ascii="宋体" w:hAnsi="宋体" w:hint="eastAsia"/>
                <w:kern w:val="0"/>
                <w:sz w:val="24"/>
              </w:rPr>
              <w:t>现场参观</w:t>
            </w:r>
            <w:r w:rsidRPr="005E239B">
              <w:rPr>
                <w:rFonts w:ascii="宋体" w:hAnsi="宋体"/>
                <w:bCs/>
                <w:iCs/>
                <w:color w:val="000000"/>
                <w:kern w:val="0"/>
                <w:sz w:val="24"/>
              </w:rPr>
              <w:tab/>
            </w:r>
          </w:p>
          <w:p w14:paraId="28E0E438" w14:textId="77777777" w:rsidR="00244772" w:rsidRDefault="00244772" w:rsidP="000A510C">
            <w:pPr>
              <w:tabs>
                <w:tab w:val="center" w:pos="3199"/>
              </w:tabs>
              <w:spacing w:line="360" w:lineRule="auto"/>
              <w:ind w:left="420"/>
              <w:rPr>
                <w:rFonts w:ascii="宋体" w:hAnsi="宋体"/>
                <w:bCs/>
                <w:iCs/>
                <w:color w:val="000000"/>
                <w:kern w:val="0"/>
                <w:sz w:val="24"/>
                <w:szCs w:val="20"/>
              </w:rPr>
            </w:pPr>
            <w:r w:rsidRPr="005E239B">
              <w:rPr>
                <w:rFonts w:ascii="宋体" w:hAnsi="宋体" w:hint="eastAsia"/>
                <w:bCs/>
                <w:iCs/>
                <w:color w:val="000000"/>
                <w:kern w:val="0"/>
                <w:sz w:val="24"/>
              </w:rPr>
              <w:t>□</w:t>
            </w:r>
            <w:r w:rsidRPr="005E239B">
              <w:rPr>
                <w:rFonts w:ascii="宋体" w:hAnsi="宋体" w:hint="eastAsia"/>
                <w:kern w:val="0"/>
                <w:sz w:val="24"/>
              </w:rPr>
              <w:t xml:space="preserve">其他 </w:t>
            </w:r>
          </w:p>
        </w:tc>
      </w:tr>
      <w:tr w:rsidR="00244772" w:rsidRPr="003E6A98" w14:paraId="35C1BD81" w14:textId="77777777" w:rsidTr="00595043">
        <w:trPr>
          <w:trHeight w:val="830"/>
        </w:trPr>
        <w:tc>
          <w:tcPr>
            <w:tcW w:w="1410" w:type="dxa"/>
            <w:vAlign w:val="center"/>
          </w:tcPr>
          <w:p w14:paraId="55D80764" w14:textId="77777777" w:rsidR="00244772" w:rsidRDefault="00244772" w:rsidP="000A510C">
            <w:pPr>
              <w:jc w:val="center"/>
              <w:rPr>
                <w:rFonts w:ascii="宋体" w:hAnsi="宋体"/>
                <w:bCs/>
                <w:iCs/>
                <w:color w:val="000000"/>
                <w:kern w:val="0"/>
                <w:sz w:val="24"/>
                <w:szCs w:val="20"/>
              </w:rPr>
            </w:pPr>
            <w:r>
              <w:rPr>
                <w:rFonts w:ascii="宋体" w:hAnsi="宋体" w:hint="eastAsia"/>
                <w:b/>
                <w:bCs/>
                <w:iCs/>
                <w:color w:val="000000"/>
                <w:kern w:val="0"/>
                <w:sz w:val="24"/>
                <w:szCs w:val="20"/>
              </w:rPr>
              <w:t>参与单位名称及人员姓名</w:t>
            </w:r>
          </w:p>
        </w:tc>
        <w:tc>
          <w:tcPr>
            <w:tcW w:w="0" w:type="auto"/>
            <w:vAlign w:val="center"/>
          </w:tcPr>
          <w:p w14:paraId="5BA07552" w14:textId="22386120" w:rsidR="005E239B" w:rsidRPr="007971AF" w:rsidRDefault="00150CFC" w:rsidP="007971AF">
            <w:pPr>
              <w:spacing w:line="360" w:lineRule="auto"/>
              <w:rPr>
                <w:bCs/>
                <w:sz w:val="24"/>
              </w:rPr>
            </w:pPr>
            <w:r>
              <w:rPr>
                <w:rFonts w:hint="eastAsia"/>
                <w:bCs/>
                <w:sz w:val="24"/>
              </w:rPr>
              <w:t>银华基金、华夏基金、</w:t>
            </w:r>
            <w:r w:rsidRPr="00150CFC">
              <w:rPr>
                <w:rFonts w:hint="eastAsia"/>
                <w:bCs/>
                <w:sz w:val="24"/>
              </w:rPr>
              <w:t>泰康资产</w:t>
            </w:r>
            <w:r w:rsidR="00466CD1">
              <w:rPr>
                <w:rFonts w:hint="eastAsia"/>
                <w:bCs/>
                <w:sz w:val="24"/>
              </w:rPr>
              <w:t>、长盛基金、大成基金</w:t>
            </w:r>
          </w:p>
        </w:tc>
      </w:tr>
      <w:tr w:rsidR="00244772" w:rsidRPr="001F3B16" w14:paraId="2F3E3E11" w14:textId="77777777" w:rsidTr="00595043">
        <w:trPr>
          <w:trHeight w:val="570"/>
        </w:trPr>
        <w:tc>
          <w:tcPr>
            <w:tcW w:w="1410" w:type="dxa"/>
            <w:vAlign w:val="center"/>
          </w:tcPr>
          <w:p w14:paraId="648FDB39" w14:textId="77777777" w:rsidR="00244772" w:rsidRPr="001F3B16" w:rsidRDefault="00244772" w:rsidP="000A510C">
            <w:pPr>
              <w:jc w:val="center"/>
              <w:rPr>
                <w:b/>
                <w:bCs/>
                <w:iCs/>
                <w:color w:val="000000"/>
                <w:kern w:val="0"/>
                <w:sz w:val="24"/>
                <w:szCs w:val="20"/>
              </w:rPr>
            </w:pPr>
            <w:r w:rsidRPr="001F3B16">
              <w:rPr>
                <w:b/>
                <w:bCs/>
                <w:iCs/>
                <w:color w:val="000000"/>
                <w:kern w:val="0"/>
                <w:sz w:val="24"/>
                <w:szCs w:val="20"/>
              </w:rPr>
              <w:t>时间</w:t>
            </w:r>
          </w:p>
        </w:tc>
        <w:tc>
          <w:tcPr>
            <w:tcW w:w="0" w:type="auto"/>
            <w:vAlign w:val="center"/>
          </w:tcPr>
          <w:p w14:paraId="7DD9FFFB" w14:textId="77777777" w:rsidR="005E239B" w:rsidRPr="001F3B16" w:rsidRDefault="00FD666F" w:rsidP="00150CFC">
            <w:pPr>
              <w:spacing w:line="360" w:lineRule="auto"/>
              <w:rPr>
                <w:kern w:val="0"/>
                <w:sz w:val="24"/>
              </w:rPr>
            </w:pPr>
            <w:r w:rsidRPr="001F3B16">
              <w:rPr>
                <w:bCs/>
                <w:sz w:val="24"/>
              </w:rPr>
              <w:t>20</w:t>
            </w:r>
            <w:r w:rsidR="00B6327A">
              <w:rPr>
                <w:bCs/>
                <w:sz w:val="24"/>
              </w:rPr>
              <w:t>20</w:t>
            </w:r>
            <w:r w:rsidR="00F47982" w:rsidRPr="001F3B16">
              <w:rPr>
                <w:bCs/>
                <w:sz w:val="24"/>
              </w:rPr>
              <w:t>年</w:t>
            </w:r>
            <w:r w:rsidR="00811C36">
              <w:rPr>
                <w:bCs/>
                <w:sz w:val="24"/>
              </w:rPr>
              <w:t>2</w:t>
            </w:r>
            <w:r w:rsidR="00F47982" w:rsidRPr="001F3B16">
              <w:rPr>
                <w:bCs/>
                <w:sz w:val="24"/>
              </w:rPr>
              <w:t>月</w:t>
            </w:r>
            <w:r w:rsidR="00811C36">
              <w:rPr>
                <w:bCs/>
                <w:sz w:val="24"/>
              </w:rPr>
              <w:t>14</w:t>
            </w:r>
            <w:r w:rsidR="00F47982" w:rsidRPr="001F3B16">
              <w:rPr>
                <w:bCs/>
                <w:sz w:val="24"/>
              </w:rPr>
              <w:t>日</w:t>
            </w:r>
          </w:p>
        </w:tc>
      </w:tr>
      <w:tr w:rsidR="00244772" w:rsidRPr="005C2688" w14:paraId="340D1F40" w14:textId="77777777" w:rsidTr="00595043">
        <w:trPr>
          <w:trHeight w:val="564"/>
        </w:trPr>
        <w:tc>
          <w:tcPr>
            <w:tcW w:w="1410" w:type="dxa"/>
            <w:vAlign w:val="center"/>
          </w:tcPr>
          <w:p w14:paraId="01DFCBA6" w14:textId="77777777" w:rsidR="00244772" w:rsidRPr="005C2688" w:rsidRDefault="00244772" w:rsidP="000A510C">
            <w:pPr>
              <w:jc w:val="center"/>
              <w:rPr>
                <w:b/>
                <w:bCs/>
                <w:iCs/>
                <w:color w:val="000000"/>
                <w:kern w:val="0"/>
                <w:sz w:val="24"/>
                <w:szCs w:val="20"/>
              </w:rPr>
            </w:pPr>
            <w:r w:rsidRPr="005C2688">
              <w:rPr>
                <w:b/>
                <w:bCs/>
                <w:iCs/>
                <w:color w:val="000000"/>
                <w:kern w:val="0"/>
                <w:sz w:val="24"/>
                <w:szCs w:val="20"/>
              </w:rPr>
              <w:t>地点</w:t>
            </w:r>
          </w:p>
        </w:tc>
        <w:tc>
          <w:tcPr>
            <w:tcW w:w="0" w:type="auto"/>
            <w:vAlign w:val="center"/>
          </w:tcPr>
          <w:p w14:paraId="01945EFF" w14:textId="77777777" w:rsidR="00244772" w:rsidRPr="005C2688" w:rsidRDefault="00150CFC" w:rsidP="000A510C">
            <w:pPr>
              <w:spacing w:line="360" w:lineRule="auto"/>
              <w:rPr>
                <w:kern w:val="0"/>
                <w:sz w:val="24"/>
                <w:szCs w:val="21"/>
              </w:rPr>
            </w:pPr>
            <w:r>
              <w:rPr>
                <w:rFonts w:hint="eastAsia"/>
                <w:kern w:val="0"/>
                <w:sz w:val="24"/>
                <w:szCs w:val="21"/>
              </w:rPr>
              <w:t>电话会议</w:t>
            </w:r>
          </w:p>
        </w:tc>
      </w:tr>
      <w:tr w:rsidR="00244772" w14:paraId="02F64CEF" w14:textId="77777777" w:rsidTr="00595043">
        <w:trPr>
          <w:trHeight w:val="257"/>
        </w:trPr>
        <w:tc>
          <w:tcPr>
            <w:tcW w:w="1410" w:type="dxa"/>
            <w:vAlign w:val="center"/>
          </w:tcPr>
          <w:p w14:paraId="7674B714" w14:textId="77777777" w:rsidR="00244772" w:rsidRDefault="00244772" w:rsidP="000A510C">
            <w:pPr>
              <w:jc w:val="center"/>
              <w:rPr>
                <w:rFonts w:ascii="宋体" w:hAnsi="宋体"/>
                <w:b/>
                <w:bCs/>
                <w:iCs/>
                <w:color w:val="000000"/>
                <w:kern w:val="0"/>
                <w:sz w:val="24"/>
                <w:szCs w:val="20"/>
              </w:rPr>
            </w:pPr>
            <w:r>
              <w:rPr>
                <w:rFonts w:ascii="宋体" w:hAnsi="宋体" w:hint="eastAsia"/>
                <w:b/>
                <w:bCs/>
                <w:iCs/>
                <w:color w:val="000000"/>
                <w:kern w:val="0"/>
                <w:sz w:val="24"/>
                <w:szCs w:val="20"/>
              </w:rPr>
              <w:t>上市公司接待人员姓名</w:t>
            </w:r>
          </w:p>
        </w:tc>
        <w:tc>
          <w:tcPr>
            <w:tcW w:w="0" w:type="auto"/>
            <w:vAlign w:val="center"/>
          </w:tcPr>
          <w:p w14:paraId="76A06958" w14:textId="77777777" w:rsidR="00FD666F" w:rsidRPr="005E239B" w:rsidRDefault="00561F82" w:rsidP="007872DF">
            <w:pPr>
              <w:spacing w:line="360" w:lineRule="auto"/>
              <w:rPr>
                <w:rFonts w:ascii="宋体" w:hAnsi="宋体"/>
                <w:kern w:val="0"/>
                <w:sz w:val="24"/>
                <w:szCs w:val="21"/>
              </w:rPr>
            </w:pPr>
            <w:r>
              <w:rPr>
                <w:rFonts w:ascii="宋体" w:hAnsi="宋体" w:hint="eastAsia"/>
                <w:kern w:val="0"/>
                <w:sz w:val="24"/>
                <w:szCs w:val="21"/>
              </w:rPr>
              <w:t>董事会秘书:</w:t>
            </w:r>
            <w:r w:rsidR="007B30AA">
              <w:rPr>
                <w:rFonts w:ascii="宋体" w:hAnsi="宋体" w:hint="eastAsia"/>
                <w:kern w:val="0"/>
                <w:sz w:val="24"/>
                <w:szCs w:val="21"/>
              </w:rPr>
              <w:t>徐耘</w:t>
            </w:r>
            <w:r w:rsidR="007872DF">
              <w:rPr>
                <w:rFonts w:ascii="宋体" w:hAnsi="宋体" w:hint="eastAsia"/>
                <w:kern w:val="0"/>
                <w:sz w:val="24"/>
                <w:szCs w:val="21"/>
              </w:rPr>
              <w:t>；</w:t>
            </w:r>
            <w:r>
              <w:rPr>
                <w:rFonts w:ascii="宋体" w:hAnsi="宋体" w:hint="eastAsia"/>
                <w:kern w:val="0"/>
                <w:sz w:val="24"/>
                <w:szCs w:val="21"/>
              </w:rPr>
              <w:t>业务相关负责人:崔进；证券事务代表:</w:t>
            </w:r>
            <w:r w:rsidR="007872DF">
              <w:rPr>
                <w:rFonts w:ascii="宋体" w:hAnsi="宋体" w:hint="eastAsia"/>
                <w:kern w:val="0"/>
                <w:sz w:val="24"/>
                <w:szCs w:val="21"/>
              </w:rPr>
              <w:t>林德栋</w:t>
            </w:r>
            <w:r w:rsidR="007872DF" w:rsidRPr="005E239B">
              <w:rPr>
                <w:rFonts w:ascii="宋体" w:hAnsi="宋体"/>
                <w:kern w:val="0"/>
                <w:sz w:val="24"/>
                <w:szCs w:val="21"/>
              </w:rPr>
              <w:t xml:space="preserve"> </w:t>
            </w:r>
          </w:p>
        </w:tc>
      </w:tr>
      <w:tr w:rsidR="00244772" w:rsidRPr="001F3B16" w14:paraId="28D6804F" w14:textId="77777777" w:rsidTr="00595043">
        <w:trPr>
          <w:trHeight w:val="983"/>
        </w:trPr>
        <w:tc>
          <w:tcPr>
            <w:tcW w:w="1410" w:type="dxa"/>
            <w:vAlign w:val="center"/>
          </w:tcPr>
          <w:p w14:paraId="3DF218F5" w14:textId="77777777" w:rsidR="00244772" w:rsidRPr="001F3B16" w:rsidRDefault="00244772" w:rsidP="000A510C">
            <w:pPr>
              <w:spacing w:line="360" w:lineRule="auto"/>
              <w:jc w:val="center"/>
              <w:rPr>
                <w:b/>
                <w:bCs/>
                <w:iCs/>
                <w:color w:val="000000"/>
                <w:kern w:val="0"/>
                <w:sz w:val="24"/>
              </w:rPr>
            </w:pPr>
            <w:r w:rsidRPr="001F3B16">
              <w:rPr>
                <w:b/>
                <w:bCs/>
                <w:iCs/>
                <w:color w:val="000000"/>
                <w:kern w:val="0"/>
                <w:sz w:val="24"/>
              </w:rPr>
              <w:t>投资者关系活动主要内容介绍</w:t>
            </w:r>
          </w:p>
        </w:tc>
        <w:tc>
          <w:tcPr>
            <w:tcW w:w="0" w:type="auto"/>
          </w:tcPr>
          <w:p w14:paraId="0BB44853" w14:textId="77777777" w:rsidR="00992493" w:rsidRPr="009C1310" w:rsidRDefault="003F1133" w:rsidP="007A2506">
            <w:pPr>
              <w:adjustRightInd w:val="0"/>
              <w:snapToGrid w:val="0"/>
              <w:spacing w:beforeLines="50" w:before="156" w:afterLines="50" w:after="156" w:line="360" w:lineRule="auto"/>
              <w:ind w:firstLineChars="200" w:firstLine="480"/>
              <w:rPr>
                <w:bCs/>
                <w:sz w:val="24"/>
              </w:rPr>
            </w:pPr>
            <w:r w:rsidRPr="009C1310">
              <w:rPr>
                <w:bCs/>
                <w:sz w:val="24"/>
              </w:rPr>
              <w:t>一、</w:t>
            </w:r>
            <w:r w:rsidR="00150CFC" w:rsidRPr="009C1310">
              <w:rPr>
                <w:rFonts w:hint="eastAsia"/>
                <w:bCs/>
                <w:sz w:val="24"/>
              </w:rPr>
              <w:t>公司复工情况</w:t>
            </w:r>
          </w:p>
          <w:p w14:paraId="1E47500D" w14:textId="77777777" w:rsidR="00150CFC" w:rsidRDefault="007A2506" w:rsidP="00762907">
            <w:pPr>
              <w:adjustRightInd w:val="0"/>
              <w:snapToGrid w:val="0"/>
              <w:spacing w:beforeLines="50" w:before="156" w:line="360" w:lineRule="auto"/>
              <w:ind w:firstLineChars="200" w:firstLine="480"/>
              <w:rPr>
                <w:bCs/>
                <w:sz w:val="24"/>
              </w:rPr>
            </w:pPr>
            <w:r w:rsidRPr="007A2506">
              <w:rPr>
                <w:rFonts w:hint="eastAsia"/>
                <w:bCs/>
                <w:sz w:val="24"/>
              </w:rPr>
              <w:t>公司密切关注、高度重视疫情发展情况，在内部成立了疫情指挥中心，积极响应国务院及各地政府出台的相关政策。在复工时间的安排上，上海、安徽、北京、广东等区域延长春节至</w:t>
            </w:r>
            <w:r w:rsidRPr="007A2506">
              <w:rPr>
                <w:rFonts w:hint="eastAsia"/>
                <w:bCs/>
                <w:sz w:val="24"/>
              </w:rPr>
              <w:t>2</w:t>
            </w:r>
            <w:r w:rsidRPr="007A2506">
              <w:rPr>
                <w:rFonts w:hint="eastAsia"/>
                <w:bCs/>
                <w:sz w:val="24"/>
              </w:rPr>
              <w:t>月</w:t>
            </w:r>
            <w:r w:rsidRPr="007A2506">
              <w:rPr>
                <w:rFonts w:hint="eastAsia"/>
                <w:bCs/>
                <w:sz w:val="24"/>
              </w:rPr>
              <w:t>9</w:t>
            </w:r>
            <w:r w:rsidRPr="007A2506">
              <w:rPr>
                <w:rFonts w:hint="eastAsia"/>
                <w:bCs/>
                <w:sz w:val="24"/>
              </w:rPr>
              <w:t>日，自</w:t>
            </w:r>
            <w:r w:rsidRPr="007A2506">
              <w:rPr>
                <w:rFonts w:hint="eastAsia"/>
                <w:bCs/>
                <w:sz w:val="24"/>
              </w:rPr>
              <w:t>2</w:t>
            </w:r>
            <w:r w:rsidRPr="007A2506">
              <w:rPr>
                <w:rFonts w:hint="eastAsia"/>
                <w:bCs/>
                <w:sz w:val="24"/>
              </w:rPr>
              <w:t>月</w:t>
            </w:r>
            <w:r w:rsidRPr="007A2506">
              <w:rPr>
                <w:rFonts w:hint="eastAsia"/>
                <w:bCs/>
                <w:sz w:val="24"/>
              </w:rPr>
              <w:t>10</w:t>
            </w:r>
            <w:r w:rsidRPr="007A2506">
              <w:rPr>
                <w:rFonts w:hint="eastAsia"/>
                <w:bCs/>
                <w:sz w:val="24"/>
              </w:rPr>
              <w:t>日起正式上班</w:t>
            </w:r>
            <w:r>
              <w:rPr>
                <w:rFonts w:hint="eastAsia"/>
                <w:bCs/>
                <w:sz w:val="24"/>
              </w:rPr>
              <w:t>，部分区域采用远程</w:t>
            </w:r>
            <w:r w:rsidR="001455F6">
              <w:rPr>
                <w:rFonts w:hint="eastAsia"/>
                <w:bCs/>
                <w:sz w:val="24"/>
              </w:rPr>
              <w:t>办公</w:t>
            </w:r>
            <w:r>
              <w:rPr>
                <w:rFonts w:hint="eastAsia"/>
                <w:bCs/>
                <w:sz w:val="24"/>
              </w:rPr>
              <w:t>方式</w:t>
            </w:r>
            <w:r w:rsidRPr="007A2506">
              <w:rPr>
                <w:rFonts w:hint="eastAsia"/>
                <w:bCs/>
                <w:sz w:val="24"/>
              </w:rPr>
              <w:t>；中国香港、中国台湾及海外区域按照原定计划正常上班。</w:t>
            </w:r>
          </w:p>
          <w:p w14:paraId="30D6C988" w14:textId="77777777" w:rsidR="007A2506" w:rsidRPr="009C1310" w:rsidRDefault="007A2506" w:rsidP="007A2506">
            <w:pPr>
              <w:adjustRightInd w:val="0"/>
              <w:snapToGrid w:val="0"/>
              <w:spacing w:beforeLines="50" w:before="156" w:afterLines="50" w:after="156" w:line="360" w:lineRule="auto"/>
              <w:ind w:firstLineChars="200" w:firstLine="480"/>
              <w:rPr>
                <w:bCs/>
                <w:sz w:val="24"/>
              </w:rPr>
            </w:pPr>
            <w:r w:rsidRPr="009C1310">
              <w:rPr>
                <w:rFonts w:hint="eastAsia"/>
                <w:bCs/>
                <w:sz w:val="24"/>
              </w:rPr>
              <w:t>二、主要问题及回答</w:t>
            </w:r>
          </w:p>
          <w:p w14:paraId="3AFE32D5" w14:textId="77777777" w:rsidR="008C425D" w:rsidRPr="001F3B16" w:rsidRDefault="00FC1628" w:rsidP="00762907">
            <w:pPr>
              <w:adjustRightInd w:val="0"/>
              <w:snapToGrid w:val="0"/>
              <w:spacing w:line="360" w:lineRule="auto"/>
              <w:ind w:firstLineChars="200" w:firstLine="480"/>
              <w:rPr>
                <w:bCs/>
                <w:sz w:val="24"/>
              </w:rPr>
            </w:pPr>
            <w:r>
              <w:rPr>
                <w:rFonts w:hint="eastAsia"/>
                <w:bCs/>
                <w:sz w:val="24"/>
              </w:rPr>
              <w:t>1</w:t>
            </w:r>
            <w:r>
              <w:rPr>
                <w:rFonts w:hint="eastAsia"/>
                <w:bCs/>
                <w:sz w:val="24"/>
              </w:rPr>
              <w:t>、</w:t>
            </w:r>
            <w:r w:rsidR="007A2506">
              <w:rPr>
                <w:rFonts w:hint="eastAsia"/>
                <w:bCs/>
                <w:sz w:val="24"/>
              </w:rPr>
              <w:t>疫情对于公司的影响有哪些？</w:t>
            </w:r>
            <w:r w:rsidR="006064C3" w:rsidRPr="001F3B16">
              <w:rPr>
                <w:bCs/>
                <w:sz w:val="24"/>
              </w:rPr>
              <w:t xml:space="preserve"> </w:t>
            </w:r>
          </w:p>
          <w:p w14:paraId="44F0F9B5" w14:textId="56637F86" w:rsidR="00861D11" w:rsidRDefault="00363018" w:rsidP="003236A7">
            <w:pPr>
              <w:adjustRightInd w:val="0"/>
              <w:snapToGrid w:val="0"/>
              <w:spacing w:line="360" w:lineRule="auto"/>
              <w:ind w:firstLineChars="200" w:firstLine="480"/>
              <w:rPr>
                <w:bCs/>
                <w:sz w:val="24"/>
              </w:rPr>
            </w:pPr>
            <w:r>
              <w:rPr>
                <w:rFonts w:hint="eastAsia"/>
                <w:bCs/>
                <w:sz w:val="24"/>
              </w:rPr>
              <w:t>答：</w:t>
            </w:r>
            <w:r w:rsidR="00861D11">
              <w:rPr>
                <w:rFonts w:hint="eastAsia"/>
                <w:bCs/>
                <w:sz w:val="24"/>
              </w:rPr>
              <w:t>自疫情发生以来，公司管理层第一时间通过远程会议的方式讨论疫情</w:t>
            </w:r>
            <w:r w:rsidR="00E1405F">
              <w:rPr>
                <w:rFonts w:hint="eastAsia"/>
                <w:bCs/>
                <w:sz w:val="24"/>
              </w:rPr>
              <w:t>应对</w:t>
            </w:r>
            <w:r w:rsidR="009C1310">
              <w:rPr>
                <w:rFonts w:hint="eastAsia"/>
                <w:bCs/>
                <w:sz w:val="24"/>
              </w:rPr>
              <w:t>措施</w:t>
            </w:r>
            <w:r w:rsidR="00E1405F">
              <w:rPr>
                <w:rFonts w:hint="eastAsia"/>
                <w:bCs/>
                <w:sz w:val="24"/>
              </w:rPr>
              <w:t>、复工安排等</w:t>
            </w:r>
            <w:r w:rsidR="00861D11">
              <w:rPr>
                <w:rFonts w:hint="eastAsia"/>
                <w:bCs/>
                <w:sz w:val="24"/>
              </w:rPr>
              <w:t>。整体来看，</w:t>
            </w:r>
            <w:r w:rsidR="009C1310" w:rsidRPr="009C1310">
              <w:rPr>
                <w:rFonts w:hint="eastAsia"/>
                <w:bCs/>
                <w:sz w:val="24"/>
              </w:rPr>
              <w:t>疫情对于公司经营业绩</w:t>
            </w:r>
            <w:r w:rsidR="009C1310">
              <w:rPr>
                <w:rFonts w:hint="eastAsia"/>
                <w:bCs/>
                <w:sz w:val="24"/>
              </w:rPr>
              <w:t>的影响有限。海外工厂生产经营未受疫情影响，境内工厂复工后</w:t>
            </w:r>
            <w:r w:rsidR="009C1310" w:rsidRPr="009C1310">
              <w:rPr>
                <w:rFonts w:hint="eastAsia"/>
                <w:bCs/>
                <w:sz w:val="24"/>
              </w:rPr>
              <w:t>将通过增加产线的方式来消除影响。</w:t>
            </w:r>
            <w:r w:rsidR="00D6604F">
              <w:rPr>
                <w:rFonts w:hint="eastAsia"/>
                <w:bCs/>
                <w:sz w:val="24"/>
              </w:rPr>
              <w:t>相信疫情结束后，出行消费品市场</w:t>
            </w:r>
            <w:bookmarkStart w:id="0" w:name="_GoBack"/>
            <w:bookmarkEnd w:id="0"/>
            <w:r w:rsidR="00D6604F">
              <w:rPr>
                <w:rFonts w:hint="eastAsia"/>
                <w:bCs/>
                <w:sz w:val="24"/>
              </w:rPr>
              <w:t>将迎来反弹。</w:t>
            </w:r>
          </w:p>
          <w:p w14:paraId="6BA876E8" w14:textId="77777777" w:rsidR="003876FD" w:rsidRPr="009C1310" w:rsidRDefault="003876FD" w:rsidP="003876FD">
            <w:pPr>
              <w:adjustRightInd w:val="0"/>
              <w:snapToGrid w:val="0"/>
              <w:spacing w:line="360" w:lineRule="auto"/>
              <w:ind w:firstLineChars="200" w:firstLine="480"/>
              <w:rPr>
                <w:bCs/>
                <w:sz w:val="24"/>
              </w:rPr>
            </w:pPr>
            <w:r w:rsidRPr="009C1310">
              <w:rPr>
                <w:bCs/>
                <w:sz w:val="24"/>
              </w:rPr>
              <w:lastRenderedPageBreak/>
              <w:t>2</w:t>
            </w:r>
            <w:r w:rsidRPr="009C1310">
              <w:rPr>
                <w:rFonts w:hint="eastAsia"/>
                <w:bCs/>
                <w:sz w:val="24"/>
              </w:rPr>
              <w:t>、公司与上下游的供货关系如何？</w:t>
            </w:r>
          </w:p>
          <w:p w14:paraId="38E6A089" w14:textId="77777777" w:rsidR="003876FD" w:rsidRPr="009C1310" w:rsidRDefault="003876FD" w:rsidP="003876FD">
            <w:pPr>
              <w:adjustRightInd w:val="0"/>
              <w:snapToGrid w:val="0"/>
              <w:spacing w:line="360" w:lineRule="auto"/>
              <w:ind w:firstLineChars="200" w:firstLine="480"/>
              <w:rPr>
                <w:bCs/>
                <w:sz w:val="24"/>
              </w:rPr>
            </w:pPr>
            <w:r w:rsidRPr="009C1310">
              <w:rPr>
                <w:rFonts w:hint="eastAsia"/>
                <w:bCs/>
                <w:sz w:val="24"/>
              </w:rPr>
              <w:t>答：公司与上下游供应商一直保持着长期良好的合作伙伴关系，公司是这些供应商的优质客户，供应商会优先保障我们的供应。</w:t>
            </w:r>
          </w:p>
          <w:p w14:paraId="02A98429" w14:textId="77777777" w:rsidR="003236A7" w:rsidRPr="009C1310" w:rsidRDefault="003876FD" w:rsidP="003876FD">
            <w:pPr>
              <w:adjustRightInd w:val="0"/>
              <w:snapToGrid w:val="0"/>
              <w:spacing w:line="360" w:lineRule="auto"/>
              <w:ind w:firstLineChars="200" w:firstLine="480"/>
              <w:rPr>
                <w:bCs/>
                <w:sz w:val="24"/>
              </w:rPr>
            </w:pPr>
            <w:r w:rsidRPr="009C1310">
              <w:rPr>
                <w:rFonts w:hint="eastAsia"/>
                <w:bCs/>
                <w:sz w:val="24"/>
              </w:rPr>
              <w:t>3</w:t>
            </w:r>
            <w:r w:rsidRPr="009C1310">
              <w:rPr>
                <w:rFonts w:hint="eastAsia"/>
                <w:bCs/>
                <w:sz w:val="24"/>
              </w:rPr>
              <w:t>、</w:t>
            </w:r>
            <w:r w:rsidR="00A64F07" w:rsidRPr="009C1310">
              <w:rPr>
                <w:rFonts w:hint="eastAsia"/>
                <w:bCs/>
                <w:sz w:val="24"/>
              </w:rPr>
              <w:t>请介绍下</w:t>
            </w:r>
            <w:r w:rsidR="003236A7" w:rsidRPr="009C1310">
              <w:rPr>
                <w:rFonts w:hint="eastAsia"/>
                <w:bCs/>
                <w:sz w:val="24"/>
              </w:rPr>
              <w:t>公司</w:t>
            </w:r>
            <w:r w:rsidR="00FC1628" w:rsidRPr="009C1310">
              <w:rPr>
                <w:rFonts w:hint="eastAsia"/>
                <w:bCs/>
                <w:sz w:val="24"/>
              </w:rPr>
              <w:t>B</w:t>
            </w:r>
            <w:r w:rsidR="00FC1628" w:rsidRPr="009C1310">
              <w:rPr>
                <w:bCs/>
                <w:sz w:val="24"/>
              </w:rPr>
              <w:t>2</w:t>
            </w:r>
            <w:r w:rsidR="00FC1628" w:rsidRPr="009C1310">
              <w:rPr>
                <w:rFonts w:hint="eastAsia"/>
                <w:bCs/>
                <w:sz w:val="24"/>
              </w:rPr>
              <w:t>B</w:t>
            </w:r>
            <w:r w:rsidR="000674DE" w:rsidRPr="009C1310">
              <w:rPr>
                <w:rFonts w:hint="eastAsia"/>
                <w:bCs/>
                <w:sz w:val="24"/>
              </w:rPr>
              <w:t>的发展战略</w:t>
            </w:r>
            <w:r w:rsidR="009C1310">
              <w:rPr>
                <w:rFonts w:hint="eastAsia"/>
                <w:bCs/>
                <w:sz w:val="24"/>
              </w:rPr>
              <w:t>。</w:t>
            </w:r>
          </w:p>
          <w:p w14:paraId="3C3FCAF2" w14:textId="77777777" w:rsidR="003236A7" w:rsidRPr="009C1310" w:rsidRDefault="003236A7" w:rsidP="003236A7">
            <w:pPr>
              <w:adjustRightInd w:val="0"/>
              <w:snapToGrid w:val="0"/>
              <w:spacing w:line="360" w:lineRule="auto"/>
              <w:ind w:firstLineChars="200" w:firstLine="480"/>
              <w:rPr>
                <w:bCs/>
                <w:sz w:val="24"/>
              </w:rPr>
            </w:pPr>
            <w:r w:rsidRPr="009C1310">
              <w:rPr>
                <w:rFonts w:hint="eastAsia"/>
                <w:bCs/>
                <w:sz w:val="24"/>
              </w:rPr>
              <w:t>答：</w:t>
            </w:r>
            <w:r w:rsidR="00FC1628" w:rsidRPr="009C1310">
              <w:rPr>
                <w:rFonts w:hint="eastAsia"/>
                <w:bCs/>
                <w:sz w:val="24"/>
              </w:rPr>
              <w:t>公司坚持“同一客户拓展品类，同一品类拓展客户”的发展战略，与国际知名品牌耐克、迪卡侬、戴尔、惠普</w:t>
            </w:r>
            <w:r w:rsidR="000674DE" w:rsidRPr="009C1310">
              <w:rPr>
                <w:rFonts w:hint="eastAsia"/>
                <w:bCs/>
                <w:sz w:val="24"/>
              </w:rPr>
              <w:t>等</w:t>
            </w:r>
            <w:r w:rsidR="00FC1628" w:rsidRPr="009C1310">
              <w:rPr>
                <w:rFonts w:hint="eastAsia"/>
                <w:bCs/>
                <w:sz w:val="24"/>
              </w:rPr>
              <w:t>保持长期战略合作关系，不断拓展并优化客户结构，完善产品品类，强化精益管理能力，持续提升产能，完善战略布局，夯实竞争壁垒。</w:t>
            </w:r>
          </w:p>
          <w:p w14:paraId="76598CA4" w14:textId="77777777" w:rsidR="000674DE" w:rsidRPr="009C1310" w:rsidRDefault="00A64F07" w:rsidP="00A64F07">
            <w:pPr>
              <w:adjustRightInd w:val="0"/>
              <w:snapToGrid w:val="0"/>
              <w:spacing w:line="360" w:lineRule="auto"/>
              <w:ind w:firstLineChars="200" w:firstLine="480"/>
              <w:rPr>
                <w:bCs/>
                <w:sz w:val="24"/>
              </w:rPr>
            </w:pPr>
            <w:r w:rsidRPr="009C1310">
              <w:rPr>
                <w:bCs/>
                <w:sz w:val="24"/>
              </w:rPr>
              <w:t>4</w:t>
            </w:r>
            <w:r w:rsidRPr="009C1310">
              <w:rPr>
                <w:rFonts w:hint="eastAsia"/>
                <w:bCs/>
                <w:sz w:val="24"/>
              </w:rPr>
              <w:t>、</w:t>
            </w:r>
            <w:r w:rsidR="000674DE" w:rsidRPr="009C1310">
              <w:rPr>
                <w:rFonts w:hint="eastAsia"/>
                <w:bCs/>
                <w:sz w:val="24"/>
              </w:rPr>
              <w:t>公司</w:t>
            </w:r>
            <w:r w:rsidR="000674DE" w:rsidRPr="009C1310">
              <w:rPr>
                <w:rFonts w:hint="eastAsia"/>
                <w:bCs/>
                <w:sz w:val="24"/>
              </w:rPr>
              <w:t>B</w:t>
            </w:r>
            <w:r w:rsidR="000674DE" w:rsidRPr="009C1310">
              <w:rPr>
                <w:bCs/>
                <w:sz w:val="24"/>
              </w:rPr>
              <w:t>2</w:t>
            </w:r>
            <w:r w:rsidR="000674DE" w:rsidRPr="009C1310">
              <w:rPr>
                <w:rFonts w:hint="eastAsia"/>
                <w:bCs/>
                <w:sz w:val="24"/>
              </w:rPr>
              <w:t>C</w:t>
            </w:r>
            <w:r w:rsidR="000674DE" w:rsidRPr="009C1310">
              <w:rPr>
                <w:rFonts w:hint="eastAsia"/>
                <w:bCs/>
                <w:sz w:val="24"/>
              </w:rPr>
              <w:t>发展的</w:t>
            </w:r>
            <w:r w:rsidRPr="009C1310">
              <w:rPr>
                <w:rFonts w:hint="eastAsia"/>
                <w:bCs/>
                <w:sz w:val="24"/>
              </w:rPr>
              <w:t>战略如何</w:t>
            </w:r>
            <w:r w:rsidR="000674DE" w:rsidRPr="009C1310">
              <w:rPr>
                <w:rFonts w:hint="eastAsia"/>
                <w:bCs/>
                <w:sz w:val="24"/>
              </w:rPr>
              <w:t>？</w:t>
            </w:r>
          </w:p>
          <w:p w14:paraId="6475618B" w14:textId="77777777" w:rsidR="004F0CF2" w:rsidRPr="009C1310" w:rsidRDefault="000674DE" w:rsidP="00A64F07">
            <w:pPr>
              <w:adjustRightInd w:val="0"/>
              <w:snapToGrid w:val="0"/>
              <w:spacing w:line="360" w:lineRule="auto"/>
              <w:ind w:firstLineChars="200" w:firstLine="480"/>
              <w:rPr>
                <w:bCs/>
                <w:sz w:val="24"/>
              </w:rPr>
            </w:pPr>
            <w:r w:rsidRPr="009C1310">
              <w:rPr>
                <w:rFonts w:hint="eastAsia"/>
                <w:bCs/>
                <w:sz w:val="24"/>
              </w:rPr>
              <w:t>答：</w:t>
            </w:r>
            <w:r w:rsidR="00A64F07" w:rsidRPr="009C1310">
              <w:rPr>
                <w:rFonts w:hint="eastAsia"/>
                <w:bCs/>
                <w:sz w:val="24"/>
              </w:rPr>
              <w:t>公司将围绕“做好产品”理念，立足大众市场，在充分把握市场发展趋势和消费需求的前提下，扎实推进渠道拓展，有效整合营销资源，强化品牌塑造，加大研发投入，</w:t>
            </w:r>
            <w:r w:rsidR="00D62789" w:rsidRPr="009C1310">
              <w:rPr>
                <w:rFonts w:hint="eastAsia"/>
                <w:bCs/>
                <w:sz w:val="24"/>
              </w:rPr>
              <w:t>完善品牌矩阵，</w:t>
            </w:r>
            <w:r w:rsidR="00A64F07" w:rsidRPr="009C1310">
              <w:rPr>
                <w:rFonts w:hint="eastAsia"/>
                <w:bCs/>
                <w:sz w:val="24"/>
              </w:rPr>
              <w:t>延展产品品类，巩固和强化核心竞争优势，为用户提供好看、好用、价格合适的产品。</w:t>
            </w:r>
          </w:p>
          <w:p w14:paraId="062BF5FB" w14:textId="77777777" w:rsidR="00A64F07" w:rsidRPr="009C1310" w:rsidRDefault="00A64F07" w:rsidP="00A64F07">
            <w:pPr>
              <w:adjustRightInd w:val="0"/>
              <w:snapToGrid w:val="0"/>
              <w:spacing w:line="360" w:lineRule="auto"/>
              <w:ind w:firstLineChars="200" w:firstLine="480"/>
              <w:rPr>
                <w:bCs/>
                <w:sz w:val="24"/>
              </w:rPr>
            </w:pPr>
            <w:r w:rsidRPr="009C1310">
              <w:rPr>
                <w:rFonts w:hint="eastAsia"/>
                <w:bCs/>
                <w:sz w:val="24"/>
              </w:rPr>
              <w:t>5</w:t>
            </w:r>
            <w:r w:rsidRPr="009C1310">
              <w:rPr>
                <w:rFonts w:hint="eastAsia"/>
                <w:bCs/>
                <w:sz w:val="24"/>
              </w:rPr>
              <w:t>、公司在品牌建设方面有什么规划？投入多少？</w:t>
            </w:r>
          </w:p>
          <w:p w14:paraId="5F88418C" w14:textId="77777777" w:rsidR="00A64F07" w:rsidRPr="009C1310" w:rsidRDefault="00A64F07" w:rsidP="00A64F07">
            <w:pPr>
              <w:adjustRightInd w:val="0"/>
              <w:snapToGrid w:val="0"/>
              <w:spacing w:line="360" w:lineRule="auto"/>
              <w:ind w:firstLineChars="200" w:firstLine="480"/>
              <w:rPr>
                <w:bCs/>
                <w:sz w:val="24"/>
              </w:rPr>
            </w:pPr>
            <w:r w:rsidRPr="009C1310">
              <w:rPr>
                <w:rFonts w:hint="eastAsia"/>
                <w:bCs/>
                <w:sz w:val="24"/>
              </w:rPr>
              <w:t>答：公司将强化“</w:t>
            </w:r>
            <w:r w:rsidRPr="009C1310">
              <w:rPr>
                <w:rFonts w:hint="eastAsia"/>
                <w:bCs/>
                <w:sz w:val="24"/>
              </w:rPr>
              <w:t>90</w:t>
            </w:r>
            <w:r w:rsidRPr="009C1310">
              <w:rPr>
                <w:rFonts w:hint="eastAsia"/>
                <w:bCs/>
                <w:sz w:val="24"/>
              </w:rPr>
              <w:t>分”自有品牌建设，通过传统硬广、社交媒体宣传、事件营销、</w:t>
            </w:r>
            <w:r w:rsidRPr="009C1310">
              <w:rPr>
                <w:rFonts w:hint="eastAsia"/>
                <w:bCs/>
                <w:sz w:val="24"/>
              </w:rPr>
              <w:t>KOL</w:t>
            </w:r>
            <w:r w:rsidRPr="009C1310">
              <w:rPr>
                <w:rFonts w:hint="eastAsia"/>
                <w:bCs/>
                <w:sz w:val="24"/>
              </w:rPr>
              <w:t>种草带货、</w:t>
            </w:r>
            <w:r w:rsidR="001F64C5" w:rsidRPr="009C1310">
              <w:rPr>
                <w:rFonts w:hint="eastAsia"/>
                <w:bCs/>
                <w:sz w:val="24"/>
              </w:rPr>
              <w:t>直播合作、</w:t>
            </w:r>
            <w:r w:rsidRPr="009C1310">
              <w:rPr>
                <w:rFonts w:hint="eastAsia"/>
                <w:bCs/>
                <w:sz w:val="24"/>
              </w:rPr>
              <w:t>热点追踪等多种方式，加大品牌塑造、营销、推广力度，丰富品牌内涵，提升品牌知名度、关注度。在投入方面，公司将结合业务发展需要、疫情影响等进行综合考量和调整。</w:t>
            </w:r>
          </w:p>
          <w:p w14:paraId="09478DE0" w14:textId="77777777" w:rsidR="00CF4DA7" w:rsidRPr="009C1310" w:rsidRDefault="00CF4DA7" w:rsidP="00CF4DA7">
            <w:pPr>
              <w:adjustRightInd w:val="0"/>
              <w:snapToGrid w:val="0"/>
              <w:spacing w:line="360" w:lineRule="auto"/>
              <w:ind w:firstLineChars="200" w:firstLine="480"/>
              <w:rPr>
                <w:bCs/>
                <w:sz w:val="24"/>
              </w:rPr>
            </w:pPr>
            <w:r w:rsidRPr="009C1310">
              <w:rPr>
                <w:rFonts w:hint="eastAsia"/>
                <w:bCs/>
                <w:sz w:val="24"/>
              </w:rPr>
              <w:t>6</w:t>
            </w:r>
            <w:r w:rsidRPr="009C1310">
              <w:rPr>
                <w:rFonts w:hint="eastAsia"/>
                <w:bCs/>
                <w:sz w:val="24"/>
              </w:rPr>
              <w:t>、公司有何参与此次疫情的举措？是否捐款？</w:t>
            </w:r>
          </w:p>
          <w:p w14:paraId="191A8113" w14:textId="77777777" w:rsidR="00CF4DA7" w:rsidRPr="009C1310" w:rsidRDefault="00CF4DA7" w:rsidP="00CF4DA7">
            <w:pPr>
              <w:adjustRightInd w:val="0"/>
              <w:snapToGrid w:val="0"/>
              <w:spacing w:line="360" w:lineRule="auto"/>
              <w:ind w:firstLineChars="200" w:firstLine="480"/>
              <w:rPr>
                <w:bCs/>
                <w:sz w:val="24"/>
              </w:rPr>
            </w:pPr>
            <w:r w:rsidRPr="009C1310">
              <w:rPr>
                <w:rFonts w:hint="eastAsia"/>
                <w:bCs/>
                <w:sz w:val="24"/>
              </w:rPr>
              <w:t>答：公司向疫情一线的定点医院及疫情指挥中心等机构定向捐赠紧缺医疗</w:t>
            </w:r>
            <w:r w:rsidR="001455F6">
              <w:rPr>
                <w:rFonts w:hint="eastAsia"/>
                <w:bCs/>
                <w:sz w:val="24"/>
              </w:rPr>
              <w:t>及生活物资、</w:t>
            </w:r>
            <w:r w:rsidRPr="009C1310">
              <w:rPr>
                <w:rFonts w:hint="eastAsia"/>
                <w:bCs/>
                <w:sz w:val="24"/>
              </w:rPr>
              <w:t>现金，价物合计约</w:t>
            </w:r>
            <w:r w:rsidRPr="009C1310">
              <w:rPr>
                <w:rFonts w:hint="eastAsia"/>
                <w:bCs/>
                <w:sz w:val="24"/>
              </w:rPr>
              <w:t>200</w:t>
            </w:r>
            <w:r w:rsidRPr="009C1310">
              <w:rPr>
                <w:rFonts w:hint="eastAsia"/>
                <w:bCs/>
                <w:sz w:val="24"/>
              </w:rPr>
              <w:t>万元。本次捐赠物资及现金将用于新型冠状病毒感染的疫情防控工作，公司内部也将密切关注疫情发展，切实做好防控防疫工作，用实际行动为战胜疫情贡献力量。</w:t>
            </w:r>
          </w:p>
        </w:tc>
      </w:tr>
      <w:tr w:rsidR="00244772" w:rsidRPr="00893E56" w14:paraId="7CDBF08A" w14:textId="77777777" w:rsidTr="00595043">
        <w:trPr>
          <w:trHeight w:val="481"/>
        </w:trPr>
        <w:tc>
          <w:tcPr>
            <w:tcW w:w="1410" w:type="dxa"/>
            <w:vAlign w:val="center"/>
          </w:tcPr>
          <w:p w14:paraId="48051856"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lastRenderedPageBreak/>
              <w:t>附件清单（如有）</w:t>
            </w:r>
          </w:p>
        </w:tc>
        <w:tc>
          <w:tcPr>
            <w:tcW w:w="0" w:type="auto"/>
            <w:vAlign w:val="center"/>
          </w:tcPr>
          <w:p w14:paraId="06837995" w14:textId="77777777" w:rsidR="00244772" w:rsidRPr="005E239B" w:rsidRDefault="00244772" w:rsidP="000A510C">
            <w:pPr>
              <w:spacing w:line="360" w:lineRule="auto"/>
              <w:jc w:val="left"/>
              <w:rPr>
                <w:rFonts w:ascii="宋体" w:hAnsi="宋体"/>
                <w:bCs/>
                <w:iCs/>
                <w:color w:val="000000"/>
                <w:kern w:val="0"/>
                <w:sz w:val="24"/>
              </w:rPr>
            </w:pPr>
            <w:r w:rsidRPr="005E239B">
              <w:rPr>
                <w:rFonts w:ascii="宋体" w:hAnsi="宋体" w:hint="eastAsia"/>
                <w:bCs/>
                <w:iCs/>
                <w:color w:val="000000"/>
                <w:kern w:val="0"/>
                <w:sz w:val="24"/>
              </w:rPr>
              <w:t>无</w:t>
            </w:r>
          </w:p>
        </w:tc>
      </w:tr>
      <w:tr w:rsidR="00244772" w:rsidRPr="00893E56" w14:paraId="0897B1DB" w14:textId="77777777" w:rsidTr="00595043">
        <w:trPr>
          <w:trHeight w:val="333"/>
        </w:trPr>
        <w:tc>
          <w:tcPr>
            <w:tcW w:w="1410" w:type="dxa"/>
            <w:vAlign w:val="center"/>
          </w:tcPr>
          <w:p w14:paraId="1CA7CCCE" w14:textId="77777777" w:rsidR="00244772" w:rsidRPr="00893E56" w:rsidRDefault="00244772" w:rsidP="000A510C">
            <w:pPr>
              <w:spacing w:line="360" w:lineRule="auto"/>
              <w:jc w:val="center"/>
              <w:rPr>
                <w:rFonts w:ascii="宋体" w:hAnsi="宋体"/>
                <w:b/>
                <w:bCs/>
                <w:iCs/>
                <w:color w:val="000000"/>
                <w:kern w:val="0"/>
                <w:sz w:val="24"/>
              </w:rPr>
            </w:pPr>
            <w:r w:rsidRPr="00893E56">
              <w:rPr>
                <w:rFonts w:ascii="宋体" w:hAnsi="宋体" w:hint="eastAsia"/>
                <w:b/>
                <w:bCs/>
                <w:iCs/>
                <w:color w:val="000000"/>
                <w:kern w:val="0"/>
                <w:sz w:val="24"/>
              </w:rPr>
              <w:t>日期</w:t>
            </w:r>
          </w:p>
        </w:tc>
        <w:tc>
          <w:tcPr>
            <w:tcW w:w="0" w:type="auto"/>
            <w:vAlign w:val="center"/>
          </w:tcPr>
          <w:p w14:paraId="6C68B940" w14:textId="77777777" w:rsidR="00244772" w:rsidRPr="00A54472" w:rsidRDefault="00244772" w:rsidP="007A2506">
            <w:pPr>
              <w:spacing w:line="360" w:lineRule="auto"/>
              <w:rPr>
                <w:bCs/>
                <w:iCs/>
                <w:color w:val="000000"/>
                <w:kern w:val="0"/>
                <w:sz w:val="24"/>
              </w:rPr>
            </w:pPr>
            <w:r w:rsidRPr="00A54472">
              <w:rPr>
                <w:bCs/>
                <w:iCs/>
                <w:color w:val="000000"/>
                <w:kern w:val="0"/>
                <w:sz w:val="24"/>
              </w:rPr>
              <w:t>20</w:t>
            </w:r>
            <w:r w:rsidR="00B6327A">
              <w:rPr>
                <w:bCs/>
                <w:iCs/>
                <w:color w:val="000000"/>
                <w:kern w:val="0"/>
                <w:sz w:val="24"/>
              </w:rPr>
              <w:t>20</w:t>
            </w:r>
            <w:r w:rsidRPr="00A54472">
              <w:rPr>
                <w:bCs/>
                <w:iCs/>
                <w:color w:val="000000"/>
                <w:kern w:val="0"/>
                <w:sz w:val="24"/>
              </w:rPr>
              <w:t>年</w:t>
            </w:r>
            <w:r w:rsidR="007A2506">
              <w:rPr>
                <w:bCs/>
                <w:iCs/>
                <w:color w:val="000000"/>
                <w:kern w:val="0"/>
                <w:sz w:val="24"/>
              </w:rPr>
              <w:t>2</w:t>
            </w:r>
            <w:r w:rsidRPr="00A54472">
              <w:rPr>
                <w:bCs/>
                <w:iCs/>
                <w:color w:val="000000"/>
                <w:kern w:val="0"/>
                <w:sz w:val="24"/>
              </w:rPr>
              <w:t>月</w:t>
            </w:r>
            <w:r w:rsidR="007A2506">
              <w:rPr>
                <w:bCs/>
                <w:iCs/>
                <w:color w:val="000000"/>
                <w:kern w:val="0"/>
                <w:sz w:val="24"/>
              </w:rPr>
              <w:t>14</w:t>
            </w:r>
            <w:r w:rsidRPr="00A54472">
              <w:rPr>
                <w:bCs/>
                <w:iCs/>
                <w:color w:val="000000"/>
                <w:kern w:val="0"/>
                <w:sz w:val="24"/>
              </w:rPr>
              <w:t>日</w:t>
            </w:r>
          </w:p>
        </w:tc>
      </w:tr>
    </w:tbl>
    <w:p w14:paraId="3E8EDDB9" w14:textId="77777777" w:rsidR="00244772" w:rsidRPr="00244772" w:rsidRDefault="00244772" w:rsidP="00312393"/>
    <w:sectPr w:rsidR="00244772" w:rsidRPr="002447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898EE" w14:textId="77777777" w:rsidR="00017618" w:rsidRDefault="00017618" w:rsidP="00134946">
      <w:r>
        <w:separator/>
      </w:r>
    </w:p>
  </w:endnote>
  <w:endnote w:type="continuationSeparator" w:id="0">
    <w:p w14:paraId="18A72F98" w14:textId="77777777" w:rsidR="00017618" w:rsidRDefault="00017618"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24807" w14:textId="77777777" w:rsidR="00017618" w:rsidRDefault="00017618" w:rsidP="00134946">
      <w:r>
        <w:separator/>
      </w:r>
    </w:p>
  </w:footnote>
  <w:footnote w:type="continuationSeparator" w:id="0">
    <w:p w14:paraId="4BAF13A7" w14:textId="77777777" w:rsidR="00017618" w:rsidRDefault="00017618" w:rsidP="00134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7D868AD"/>
    <w:multiLevelType w:val="hybridMultilevel"/>
    <w:tmpl w:val="934EB3DC"/>
    <w:lvl w:ilvl="0" w:tplc="3FE6D9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CB"/>
    <w:rsid w:val="000139CB"/>
    <w:rsid w:val="00015E7C"/>
    <w:rsid w:val="00017618"/>
    <w:rsid w:val="00017BB1"/>
    <w:rsid w:val="00035D11"/>
    <w:rsid w:val="000576B4"/>
    <w:rsid w:val="00060D5C"/>
    <w:rsid w:val="00065643"/>
    <w:rsid w:val="000674DE"/>
    <w:rsid w:val="00070C13"/>
    <w:rsid w:val="000749F1"/>
    <w:rsid w:val="00080BD9"/>
    <w:rsid w:val="000C09D2"/>
    <w:rsid w:val="000C6CB4"/>
    <w:rsid w:val="000C6E87"/>
    <w:rsid w:val="000D0B53"/>
    <w:rsid w:val="001062DF"/>
    <w:rsid w:val="0011000C"/>
    <w:rsid w:val="00117BCF"/>
    <w:rsid w:val="001304F8"/>
    <w:rsid w:val="00130E94"/>
    <w:rsid w:val="00134946"/>
    <w:rsid w:val="001455F6"/>
    <w:rsid w:val="00145E28"/>
    <w:rsid w:val="00150CFC"/>
    <w:rsid w:val="001651D5"/>
    <w:rsid w:val="00166499"/>
    <w:rsid w:val="001674F7"/>
    <w:rsid w:val="0017274A"/>
    <w:rsid w:val="00173CF5"/>
    <w:rsid w:val="001753D5"/>
    <w:rsid w:val="00184384"/>
    <w:rsid w:val="00185AA5"/>
    <w:rsid w:val="001A1F58"/>
    <w:rsid w:val="001A2548"/>
    <w:rsid w:val="001A62B5"/>
    <w:rsid w:val="001A7B7E"/>
    <w:rsid w:val="001B0A64"/>
    <w:rsid w:val="001B206E"/>
    <w:rsid w:val="001B6257"/>
    <w:rsid w:val="001C0008"/>
    <w:rsid w:val="001F3B16"/>
    <w:rsid w:val="001F5762"/>
    <w:rsid w:val="001F64C5"/>
    <w:rsid w:val="00202003"/>
    <w:rsid w:val="00202CA3"/>
    <w:rsid w:val="00220291"/>
    <w:rsid w:val="00231EB5"/>
    <w:rsid w:val="002446A6"/>
    <w:rsid w:val="00244772"/>
    <w:rsid w:val="00251224"/>
    <w:rsid w:val="00270697"/>
    <w:rsid w:val="002708CB"/>
    <w:rsid w:val="0029103A"/>
    <w:rsid w:val="002B7816"/>
    <w:rsid w:val="002B7ADC"/>
    <w:rsid w:val="002D2C6A"/>
    <w:rsid w:val="002D55D5"/>
    <w:rsid w:val="002F0A37"/>
    <w:rsid w:val="002F1670"/>
    <w:rsid w:val="002F278B"/>
    <w:rsid w:val="00302094"/>
    <w:rsid w:val="00303643"/>
    <w:rsid w:val="003053C0"/>
    <w:rsid w:val="003069EC"/>
    <w:rsid w:val="00312393"/>
    <w:rsid w:val="00315248"/>
    <w:rsid w:val="003236A7"/>
    <w:rsid w:val="003410E9"/>
    <w:rsid w:val="00363018"/>
    <w:rsid w:val="00372255"/>
    <w:rsid w:val="00380FAC"/>
    <w:rsid w:val="003876FD"/>
    <w:rsid w:val="0038779C"/>
    <w:rsid w:val="0039679C"/>
    <w:rsid w:val="003A0C33"/>
    <w:rsid w:val="003B3F8A"/>
    <w:rsid w:val="003F0313"/>
    <w:rsid w:val="003F1133"/>
    <w:rsid w:val="003F22AC"/>
    <w:rsid w:val="00430C2F"/>
    <w:rsid w:val="00430CDE"/>
    <w:rsid w:val="004407C2"/>
    <w:rsid w:val="004449FF"/>
    <w:rsid w:val="00456EA6"/>
    <w:rsid w:val="00464449"/>
    <w:rsid w:val="00466CD1"/>
    <w:rsid w:val="00486747"/>
    <w:rsid w:val="00490A58"/>
    <w:rsid w:val="0049635D"/>
    <w:rsid w:val="004A60AB"/>
    <w:rsid w:val="004B1289"/>
    <w:rsid w:val="004B4D35"/>
    <w:rsid w:val="004C3BC5"/>
    <w:rsid w:val="004C7BE3"/>
    <w:rsid w:val="004D4AC6"/>
    <w:rsid w:val="004E3752"/>
    <w:rsid w:val="004E7D8B"/>
    <w:rsid w:val="004F0CF2"/>
    <w:rsid w:val="004F3807"/>
    <w:rsid w:val="00504AF1"/>
    <w:rsid w:val="00510C56"/>
    <w:rsid w:val="0052725E"/>
    <w:rsid w:val="00533829"/>
    <w:rsid w:val="0053590B"/>
    <w:rsid w:val="00544F89"/>
    <w:rsid w:val="00561F82"/>
    <w:rsid w:val="00564285"/>
    <w:rsid w:val="0057474E"/>
    <w:rsid w:val="0057765A"/>
    <w:rsid w:val="00580641"/>
    <w:rsid w:val="00584B02"/>
    <w:rsid w:val="005909DE"/>
    <w:rsid w:val="00594E11"/>
    <w:rsid w:val="00595043"/>
    <w:rsid w:val="005A1EF2"/>
    <w:rsid w:val="005A256B"/>
    <w:rsid w:val="005A39BE"/>
    <w:rsid w:val="005A500D"/>
    <w:rsid w:val="005A61E5"/>
    <w:rsid w:val="005A7EFD"/>
    <w:rsid w:val="005C2688"/>
    <w:rsid w:val="005C35CF"/>
    <w:rsid w:val="005D4ABB"/>
    <w:rsid w:val="005D6BF8"/>
    <w:rsid w:val="005D7F1E"/>
    <w:rsid w:val="005E239B"/>
    <w:rsid w:val="005F0781"/>
    <w:rsid w:val="006058CF"/>
    <w:rsid w:val="006064C3"/>
    <w:rsid w:val="00611ED6"/>
    <w:rsid w:val="006208C2"/>
    <w:rsid w:val="00624A79"/>
    <w:rsid w:val="00624BAC"/>
    <w:rsid w:val="00624ECC"/>
    <w:rsid w:val="0065113B"/>
    <w:rsid w:val="0065367A"/>
    <w:rsid w:val="006758A4"/>
    <w:rsid w:val="00681717"/>
    <w:rsid w:val="00692BAE"/>
    <w:rsid w:val="00695B62"/>
    <w:rsid w:val="00696F56"/>
    <w:rsid w:val="006B4BF7"/>
    <w:rsid w:val="006D7DFA"/>
    <w:rsid w:val="006F730D"/>
    <w:rsid w:val="00702BE0"/>
    <w:rsid w:val="0070441F"/>
    <w:rsid w:val="00714D1C"/>
    <w:rsid w:val="00727D4C"/>
    <w:rsid w:val="00731CF5"/>
    <w:rsid w:val="00744619"/>
    <w:rsid w:val="00752BDD"/>
    <w:rsid w:val="00762907"/>
    <w:rsid w:val="00767BAC"/>
    <w:rsid w:val="007768CC"/>
    <w:rsid w:val="00783551"/>
    <w:rsid w:val="00786508"/>
    <w:rsid w:val="007872DF"/>
    <w:rsid w:val="00791CE4"/>
    <w:rsid w:val="007923F7"/>
    <w:rsid w:val="00793D50"/>
    <w:rsid w:val="007971AF"/>
    <w:rsid w:val="007A2506"/>
    <w:rsid w:val="007A7994"/>
    <w:rsid w:val="007B1B1F"/>
    <w:rsid w:val="007B30AA"/>
    <w:rsid w:val="007B5380"/>
    <w:rsid w:val="007D7A15"/>
    <w:rsid w:val="00802DC1"/>
    <w:rsid w:val="00804259"/>
    <w:rsid w:val="00811C36"/>
    <w:rsid w:val="008141F4"/>
    <w:rsid w:val="00822E7D"/>
    <w:rsid w:val="0082491F"/>
    <w:rsid w:val="008270F5"/>
    <w:rsid w:val="00827906"/>
    <w:rsid w:val="00836D3E"/>
    <w:rsid w:val="00836F4C"/>
    <w:rsid w:val="00861D11"/>
    <w:rsid w:val="00864113"/>
    <w:rsid w:val="0087547F"/>
    <w:rsid w:val="008A4A66"/>
    <w:rsid w:val="008B6178"/>
    <w:rsid w:val="008C3855"/>
    <w:rsid w:val="008C425D"/>
    <w:rsid w:val="008D152C"/>
    <w:rsid w:val="008D306F"/>
    <w:rsid w:val="008D4519"/>
    <w:rsid w:val="008E5512"/>
    <w:rsid w:val="00901D56"/>
    <w:rsid w:val="00922FC9"/>
    <w:rsid w:val="00923922"/>
    <w:rsid w:val="00941E3A"/>
    <w:rsid w:val="009444C3"/>
    <w:rsid w:val="009713AD"/>
    <w:rsid w:val="00972BC7"/>
    <w:rsid w:val="00975234"/>
    <w:rsid w:val="00987804"/>
    <w:rsid w:val="00992493"/>
    <w:rsid w:val="0099290A"/>
    <w:rsid w:val="009A18D3"/>
    <w:rsid w:val="009A78AF"/>
    <w:rsid w:val="009B4E81"/>
    <w:rsid w:val="009C1310"/>
    <w:rsid w:val="009C73A1"/>
    <w:rsid w:val="009D3F4B"/>
    <w:rsid w:val="009D50B6"/>
    <w:rsid w:val="009E6125"/>
    <w:rsid w:val="009E7513"/>
    <w:rsid w:val="00A15E69"/>
    <w:rsid w:val="00A2331C"/>
    <w:rsid w:val="00A4109E"/>
    <w:rsid w:val="00A42DDD"/>
    <w:rsid w:val="00A43FAF"/>
    <w:rsid w:val="00A5080B"/>
    <w:rsid w:val="00A52BB1"/>
    <w:rsid w:val="00A54472"/>
    <w:rsid w:val="00A635AA"/>
    <w:rsid w:val="00A64F07"/>
    <w:rsid w:val="00A64F12"/>
    <w:rsid w:val="00A87262"/>
    <w:rsid w:val="00A95D63"/>
    <w:rsid w:val="00AA4351"/>
    <w:rsid w:val="00AB4291"/>
    <w:rsid w:val="00AC0450"/>
    <w:rsid w:val="00AD6C26"/>
    <w:rsid w:val="00AD6F65"/>
    <w:rsid w:val="00AE005A"/>
    <w:rsid w:val="00AE38E1"/>
    <w:rsid w:val="00AE7886"/>
    <w:rsid w:val="00AF0EBB"/>
    <w:rsid w:val="00AF3878"/>
    <w:rsid w:val="00AF736A"/>
    <w:rsid w:val="00B01F6A"/>
    <w:rsid w:val="00B1743B"/>
    <w:rsid w:val="00B42FA1"/>
    <w:rsid w:val="00B51605"/>
    <w:rsid w:val="00B528E8"/>
    <w:rsid w:val="00B5567F"/>
    <w:rsid w:val="00B6327A"/>
    <w:rsid w:val="00B64A07"/>
    <w:rsid w:val="00B651F2"/>
    <w:rsid w:val="00B704C9"/>
    <w:rsid w:val="00B71FF0"/>
    <w:rsid w:val="00B72C65"/>
    <w:rsid w:val="00B7417D"/>
    <w:rsid w:val="00B770D6"/>
    <w:rsid w:val="00B83A60"/>
    <w:rsid w:val="00B94E50"/>
    <w:rsid w:val="00BB5E9A"/>
    <w:rsid w:val="00BC150F"/>
    <w:rsid w:val="00BC1C3A"/>
    <w:rsid w:val="00BC6431"/>
    <w:rsid w:val="00BE6947"/>
    <w:rsid w:val="00BF511A"/>
    <w:rsid w:val="00C10864"/>
    <w:rsid w:val="00C11CBB"/>
    <w:rsid w:val="00C22C45"/>
    <w:rsid w:val="00C3110A"/>
    <w:rsid w:val="00C322BB"/>
    <w:rsid w:val="00C357D6"/>
    <w:rsid w:val="00C47CC8"/>
    <w:rsid w:val="00C51B3B"/>
    <w:rsid w:val="00C648CA"/>
    <w:rsid w:val="00C667EC"/>
    <w:rsid w:val="00C752A4"/>
    <w:rsid w:val="00C7535A"/>
    <w:rsid w:val="00C77017"/>
    <w:rsid w:val="00C82470"/>
    <w:rsid w:val="00C908E9"/>
    <w:rsid w:val="00C91D84"/>
    <w:rsid w:val="00CA794A"/>
    <w:rsid w:val="00CB2889"/>
    <w:rsid w:val="00CC4E69"/>
    <w:rsid w:val="00CC5584"/>
    <w:rsid w:val="00CC6B92"/>
    <w:rsid w:val="00CD32A9"/>
    <w:rsid w:val="00CD4432"/>
    <w:rsid w:val="00CD5869"/>
    <w:rsid w:val="00CF077B"/>
    <w:rsid w:val="00CF36A2"/>
    <w:rsid w:val="00CF4DA7"/>
    <w:rsid w:val="00D01416"/>
    <w:rsid w:val="00D02A96"/>
    <w:rsid w:val="00D07E5F"/>
    <w:rsid w:val="00D12326"/>
    <w:rsid w:val="00D12B9B"/>
    <w:rsid w:val="00D15FB6"/>
    <w:rsid w:val="00D21C4F"/>
    <w:rsid w:val="00D2446B"/>
    <w:rsid w:val="00D326F3"/>
    <w:rsid w:val="00D50F69"/>
    <w:rsid w:val="00D51D61"/>
    <w:rsid w:val="00D52AC3"/>
    <w:rsid w:val="00D57343"/>
    <w:rsid w:val="00D62789"/>
    <w:rsid w:val="00D6604F"/>
    <w:rsid w:val="00D6755F"/>
    <w:rsid w:val="00D741E9"/>
    <w:rsid w:val="00D77B9B"/>
    <w:rsid w:val="00D91DE4"/>
    <w:rsid w:val="00D96D1F"/>
    <w:rsid w:val="00DB0316"/>
    <w:rsid w:val="00DB24D0"/>
    <w:rsid w:val="00DB5734"/>
    <w:rsid w:val="00DC0F12"/>
    <w:rsid w:val="00DC143A"/>
    <w:rsid w:val="00DC145F"/>
    <w:rsid w:val="00DC432D"/>
    <w:rsid w:val="00DC6CB8"/>
    <w:rsid w:val="00DD633A"/>
    <w:rsid w:val="00DE3F55"/>
    <w:rsid w:val="00E0252E"/>
    <w:rsid w:val="00E11062"/>
    <w:rsid w:val="00E11734"/>
    <w:rsid w:val="00E12735"/>
    <w:rsid w:val="00E12BCE"/>
    <w:rsid w:val="00E1405F"/>
    <w:rsid w:val="00E22AB0"/>
    <w:rsid w:val="00E24F6E"/>
    <w:rsid w:val="00E26D64"/>
    <w:rsid w:val="00E450F0"/>
    <w:rsid w:val="00E512C3"/>
    <w:rsid w:val="00E51C40"/>
    <w:rsid w:val="00E61A18"/>
    <w:rsid w:val="00E80C3B"/>
    <w:rsid w:val="00E95AE7"/>
    <w:rsid w:val="00EB371D"/>
    <w:rsid w:val="00EC5CB7"/>
    <w:rsid w:val="00ED113D"/>
    <w:rsid w:val="00ED71C1"/>
    <w:rsid w:val="00EE1DF9"/>
    <w:rsid w:val="00EF11DE"/>
    <w:rsid w:val="00F00CD7"/>
    <w:rsid w:val="00F06CCE"/>
    <w:rsid w:val="00F111C9"/>
    <w:rsid w:val="00F26EF6"/>
    <w:rsid w:val="00F32EDF"/>
    <w:rsid w:val="00F36B2C"/>
    <w:rsid w:val="00F36EEB"/>
    <w:rsid w:val="00F47982"/>
    <w:rsid w:val="00F56DED"/>
    <w:rsid w:val="00F86EE8"/>
    <w:rsid w:val="00F924EA"/>
    <w:rsid w:val="00F95FC7"/>
    <w:rsid w:val="00FB38A5"/>
    <w:rsid w:val="00FB533C"/>
    <w:rsid w:val="00FC1628"/>
    <w:rsid w:val="00FD11E8"/>
    <w:rsid w:val="00FD2660"/>
    <w:rsid w:val="00FD27AC"/>
    <w:rsid w:val="00FD666F"/>
    <w:rsid w:val="00FF6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E6976"/>
  <w15:docId w15:val="{1CA2122D-1308-47AB-B064-C310F64A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a4"/>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4946"/>
    <w:rPr>
      <w:rFonts w:ascii="Times New Roman" w:eastAsia="宋体" w:hAnsi="Times New Roman" w:cs="Times New Roman"/>
      <w:sz w:val="18"/>
      <w:szCs w:val="18"/>
    </w:rPr>
  </w:style>
  <w:style w:type="paragraph" w:styleId="a5">
    <w:name w:val="footer"/>
    <w:basedOn w:val="a"/>
    <w:link w:val="a6"/>
    <w:uiPriority w:val="99"/>
    <w:unhideWhenUsed/>
    <w:rsid w:val="00134946"/>
    <w:pPr>
      <w:tabs>
        <w:tab w:val="center" w:pos="4153"/>
        <w:tab w:val="right" w:pos="8306"/>
      </w:tabs>
      <w:snapToGrid w:val="0"/>
      <w:jc w:val="left"/>
    </w:pPr>
    <w:rPr>
      <w:sz w:val="18"/>
      <w:szCs w:val="18"/>
    </w:rPr>
  </w:style>
  <w:style w:type="character" w:customStyle="1" w:styleId="a6">
    <w:name w:val="页脚 字符"/>
    <w:basedOn w:val="a0"/>
    <w:link w:val="a5"/>
    <w:uiPriority w:val="99"/>
    <w:rsid w:val="00134946"/>
    <w:rPr>
      <w:rFonts w:ascii="Times New Roman" w:eastAsia="宋体" w:hAnsi="Times New Roman" w:cs="Times New Roman"/>
      <w:sz w:val="18"/>
      <w:szCs w:val="18"/>
    </w:rPr>
  </w:style>
  <w:style w:type="paragraph" w:styleId="a7">
    <w:name w:val="List Paragraph"/>
    <w:basedOn w:val="a"/>
    <w:uiPriority w:val="34"/>
    <w:qFormat/>
    <w:rsid w:val="00D6755F"/>
    <w:pPr>
      <w:ind w:firstLineChars="200" w:firstLine="420"/>
    </w:pPr>
  </w:style>
  <w:style w:type="paragraph" w:styleId="a8">
    <w:name w:val="Balloon Text"/>
    <w:basedOn w:val="a"/>
    <w:link w:val="a9"/>
    <w:uiPriority w:val="99"/>
    <w:semiHidden/>
    <w:unhideWhenUsed/>
    <w:rsid w:val="00CA794A"/>
    <w:rPr>
      <w:sz w:val="18"/>
      <w:szCs w:val="18"/>
    </w:rPr>
  </w:style>
  <w:style w:type="character" w:customStyle="1" w:styleId="a9">
    <w:name w:val="批注框文本 字符"/>
    <w:basedOn w:val="a0"/>
    <w:link w:val="a8"/>
    <w:uiPriority w:val="99"/>
    <w:semiHidden/>
    <w:rsid w:val="00CA794A"/>
    <w:rPr>
      <w:rFonts w:ascii="Times New Roman" w:eastAsia="宋体" w:hAnsi="Times New Roman" w:cs="Times New Roman"/>
      <w:sz w:val="18"/>
      <w:szCs w:val="18"/>
    </w:rPr>
  </w:style>
  <w:style w:type="character" w:styleId="aa">
    <w:name w:val="annotation reference"/>
    <w:basedOn w:val="a0"/>
    <w:uiPriority w:val="99"/>
    <w:semiHidden/>
    <w:unhideWhenUsed/>
    <w:rsid w:val="00F36B2C"/>
    <w:rPr>
      <w:sz w:val="21"/>
      <w:szCs w:val="21"/>
    </w:rPr>
  </w:style>
  <w:style w:type="paragraph" w:styleId="ab">
    <w:name w:val="annotation text"/>
    <w:basedOn w:val="a"/>
    <w:link w:val="ac"/>
    <w:uiPriority w:val="99"/>
    <w:semiHidden/>
    <w:unhideWhenUsed/>
    <w:rsid w:val="00F36B2C"/>
    <w:pPr>
      <w:jc w:val="left"/>
    </w:pPr>
  </w:style>
  <w:style w:type="character" w:customStyle="1" w:styleId="ac">
    <w:name w:val="批注文字 字符"/>
    <w:basedOn w:val="a0"/>
    <w:link w:val="ab"/>
    <w:uiPriority w:val="99"/>
    <w:semiHidden/>
    <w:rsid w:val="00F36B2C"/>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F36B2C"/>
    <w:rPr>
      <w:b/>
      <w:bCs/>
    </w:rPr>
  </w:style>
  <w:style w:type="character" w:customStyle="1" w:styleId="ae">
    <w:name w:val="批注主题 字符"/>
    <w:basedOn w:val="ac"/>
    <w:link w:val="ad"/>
    <w:uiPriority w:val="99"/>
    <w:semiHidden/>
    <w:rsid w:val="00F36B2C"/>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7588-2EF5-4E58-A4E6-AF57E9FD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korrun</dc:creator>
  <cp:keywords/>
  <dc:description/>
  <cp:lastModifiedBy>ldd</cp:lastModifiedBy>
  <cp:revision>73</cp:revision>
  <cp:lastPrinted>2017-06-19T08:55:00Z</cp:lastPrinted>
  <dcterms:created xsi:type="dcterms:W3CDTF">2019-01-24T05:14:00Z</dcterms:created>
  <dcterms:modified xsi:type="dcterms:W3CDTF">2020-02-17T09:24:00Z</dcterms:modified>
</cp:coreProperties>
</file>