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ind w:firstLine="480" w:firstLineChars="200"/>
        <w:jc w:val="right"/>
        <w:rPr>
          <w:rFonts w:hint="default" w:asci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20200220001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jc w:val="center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中银基金 刘腾</w:t>
            </w:r>
          </w:p>
          <w:p>
            <w:pPr>
              <w:spacing w:line="480" w:lineRule="atLeast"/>
              <w:jc w:val="left"/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中银基金 王嘉琦</w:t>
            </w:r>
          </w:p>
          <w:p>
            <w:pPr>
              <w:spacing w:line="480" w:lineRule="atLeast"/>
              <w:jc w:val="left"/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广发资管 余婧薇</w:t>
            </w:r>
          </w:p>
          <w:p>
            <w:pPr>
              <w:spacing w:line="480" w:lineRule="atLeast"/>
              <w:jc w:val="left"/>
              <w:rPr>
                <w:rFonts w:hint="default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广发证券 王奇珏</w:t>
            </w:r>
          </w:p>
          <w:p>
            <w:pPr>
              <w:spacing w:line="480" w:lineRule="atLeast"/>
              <w:jc w:val="left"/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汇丰晋信 李凡</w:t>
            </w:r>
          </w:p>
          <w:p>
            <w:pPr>
              <w:spacing w:line="480" w:lineRule="atLeast"/>
              <w:jc w:val="left"/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浙江英睿投资管理有限公司 徐春来</w:t>
            </w:r>
          </w:p>
          <w:p>
            <w:pPr>
              <w:spacing w:line="480" w:lineRule="atLeast"/>
              <w:jc w:val="left"/>
              <w:rPr>
                <w:rFonts w:hint="default" w:ascii="宋体" w:hAnsi="宋体" w:eastAsia="宋体" w:cs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sz w:val="24"/>
                <w:szCs w:val="24"/>
                <w:u w:val="none"/>
                <w:lang w:val="en-US" w:eastAsia="zh-CN"/>
              </w:rPr>
              <w:t>易方达：胡云峰 何一铖 陈皓 于博 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Q：请问本次疫情是否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对公司的经营业务产生影响？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公司目前复工率是多少？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A: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本次疫情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公司的主营业务、营业收入和利润影响目前暂时还不大，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公司主营业务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为中小微商户提供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线上与线下的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支付科技、金融科技、电商科技、信息科技等服务，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2020年，公司将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发力新零售，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持续加大对新产品投放和市场拓展力度，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全面赋能小微商户线上线下一体化，且疫情之下，商户对公司线上业务的需求也会增加。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本次疫情短期内对国内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餐饮、酒店、零售、旅游等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行业影响较大，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服务的商户区域和行业分布广泛且规模巨大，上述行业的商户交易量占比较小，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预计一季度交易量同比会略有下滑，疫情结束之后，公司交易量将回升，保持增长。目前，公司复工率已达80%以上。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Q:公司今年费率价格走势是怎样的？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A：没有特殊因素，应该不会有很大的变化。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Q:前几年我们看到备付金政策是严监管态势，央行发布备付金计息政策，可以认为是备付金监管放松的信号？对公司有什么好处？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A:行业一定是严监管态势。</w:t>
            </w:r>
            <w:r>
              <w:rPr>
                <w:rFonts w:ascii="宋体" w:hAnsi="宋体" w:eastAsia="宋体" w:cs="宋体"/>
                <w:sz w:val="24"/>
                <w:szCs w:val="24"/>
              </w:rPr>
              <w:t>备付金计息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政策，微信、支付宝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以及第三方支付机构的头部公司，由于备付金规模比较大，受益最大。公司其他流动负债科目反映的都是备付金，2019年9月末余额为48.8亿。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Q:公司今后如保持高增长，是否需要进行人员扩张？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A：不需要，从上市前到目前为止人员编制几乎没变化。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Q：关于备付金余额，我们看到其他流动负债项，2019年中报是12亿，三季报是48亿，增长速度非常快，原因是什么？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A：按照中国银联要求，清算规则发生改变，导致资金沉淀增加，备付金账户余额增加。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Q：公司2019年扫码交易增幅较大，您认为2020年扫码交易量的预期是怎样的？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A：基于公司经营目标以及新产品的投放，扫码整体交易量会继续保持大幅增长。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Q：请问积分购业务为何会产生应收账款？应用场景是怎样的？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：积分购应收账款的产生是由其商业模式决定的，对接上下游客户。上游积分源主要是银行、移动运营商、航空公司、互联网平台公司等，有一些银行、移动运营商、航空公司的积分兑换消费后，需要对账结算，平均大概有一个半月的账期。应用场景主要是大型连锁超市、便利店、大品牌快餐店等，目前全国已有超过3万家可消费的门面店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Q：今年对于SAAS服务相关产品的推广有什么计划？您认为未来3-5年这块收入的占比是多少？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A：目前处于推广阶段。在用户经营端，除支付科技外，金融科技、电商科技、信息科技业务能否保持快速增长，是公司战略规划重要组成部分，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随着这些商户经营业务占比提高，公司整体毛利率还会提高。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Q：如果金融体系利率降低，意味着成本降低，是否会影响第三方支付行业，从而导致发卡行费率降低？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:收单行业的成本，包括终端的投入、商户服务、清结算等，绝大多数都是由第三方支付公司承担。而手续费分配结构中，银行占70%左右，银联10%左右，第三方支付只占了20%左右。中国收单市场整体费率偏低，从这个角度上讲，如调整费率水平或结构，会更有利于支付行业良性发展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Q：央行在四个城市试点数字货币，您认为是否会对公司带来新的变化或者益处？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Cs/>
                <w:i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A：公司高度关注数字货币，但数字货币由央行主导。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4"/>
              </w:tabs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Q：我们看到央行在推融合支付，您认为融合支付对公司来讲有没有变化？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A：据我了解，目前银联和网联各自主导的模式尚在试点阶段。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Q：商户经营业务关于会员订阅是否以费率优惠为吸引力，相比较非订阅会员与订阅会员，AURP值有什么变化？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A:会员订阅服务主要有针对性地增加用户黏性和活跃度，通过会员的方式让用户体验公司更多的服务，并非单一变现的价值。</w:t>
            </w:r>
            <w:bookmarkStart w:id="0" w:name="_GoBack"/>
            <w:bookmarkEnd w:id="0"/>
          </w:p>
          <w:p>
            <w:pPr>
              <w:spacing w:line="240" w:lineRule="auto"/>
              <w:jc w:val="both"/>
              <w:rPr>
                <w:rFonts w:hint="default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ind w:firstLine="482" w:firstLineChars="200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9F461C"/>
    <w:rsid w:val="01AF4DFA"/>
    <w:rsid w:val="022D0D62"/>
    <w:rsid w:val="02DC16DC"/>
    <w:rsid w:val="06027874"/>
    <w:rsid w:val="07330A70"/>
    <w:rsid w:val="07E55ACC"/>
    <w:rsid w:val="0895416A"/>
    <w:rsid w:val="089F2A9C"/>
    <w:rsid w:val="08BE0D2E"/>
    <w:rsid w:val="0A96177E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E2F7E"/>
    <w:rsid w:val="16942C2B"/>
    <w:rsid w:val="171A3CDE"/>
    <w:rsid w:val="172A3AB5"/>
    <w:rsid w:val="17DC1CCE"/>
    <w:rsid w:val="18D52E51"/>
    <w:rsid w:val="19857438"/>
    <w:rsid w:val="1A0102C3"/>
    <w:rsid w:val="1BD211F1"/>
    <w:rsid w:val="1C20645E"/>
    <w:rsid w:val="1CC9076F"/>
    <w:rsid w:val="1F6D2243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FE5A94"/>
    <w:rsid w:val="290F73DF"/>
    <w:rsid w:val="2B296CE2"/>
    <w:rsid w:val="2BFB06A0"/>
    <w:rsid w:val="2CE52957"/>
    <w:rsid w:val="2E867ADD"/>
    <w:rsid w:val="2E9A4F86"/>
    <w:rsid w:val="2F58112D"/>
    <w:rsid w:val="3073258C"/>
    <w:rsid w:val="31B67643"/>
    <w:rsid w:val="31CD00BA"/>
    <w:rsid w:val="32A33F95"/>
    <w:rsid w:val="33541CC7"/>
    <w:rsid w:val="35407EA4"/>
    <w:rsid w:val="355E240E"/>
    <w:rsid w:val="358502B3"/>
    <w:rsid w:val="3629358B"/>
    <w:rsid w:val="38B97517"/>
    <w:rsid w:val="39AC68D5"/>
    <w:rsid w:val="39BD2329"/>
    <w:rsid w:val="39C63C50"/>
    <w:rsid w:val="39D44C42"/>
    <w:rsid w:val="3A9E6D76"/>
    <w:rsid w:val="3AAF00C4"/>
    <w:rsid w:val="3B213BBB"/>
    <w:rsid w:val="3DB506EC"/>
    <w:rsid w:val="3DFE6BB0"/>
    <w:rsid w:val="3F1B0AF2"/>
    <w:rsid w:val="3FFF2B56"/>
    <w:rsid w:val="40DA2596"/>
    <w:rsid w:val="429E1503"/>
    <w:rsid w:val="42B42326"/>
    <w:rsid w:val="43481379"/>
    <w:rsid w:val="43E903FB"/>
    <w:rsid w:val="44573808"/>
    <w:rsid w:val="45A9690C"/>
    <w:rsid w:val="48303094"/>
    <w:rsid w:val="48D23566"/>
    <w:rsid w:val="4A0B781F"/>
    <w:rsid w:val="4AAC134D"/>
    <w:rsid w:val="4BA71B20"/>
    <w:rsid w:val="4C272843"/>
    <w:rsid w:val="4C4948E0"/>
    <w:rsid w:val="4DCA06D8"/>
    <w:rsid w:val="4DDE4A7D"/>
    <w:rsid w:val="4E102F92"/>
    <w:rsid w:val="50124C49"/>
    <w:rsid w:val="515014E2"/>
    <w:rsid w:val="517D08D2"/>
    <w:rsid w:val="518A3D31"/>
    <w:rsid w:val="5440246A"/>
    <w:rsid w:val="548E75BD"/>
    <w:rsid w:val="54FF48D9"/>
    <w:rsid w:val="556A2EC9"/>
    <w:rsid w:val="559D4069"/>
    <w:rsid w:val="56984139"/>
    <w:rsid w:val="572F431A"/>
    <w:rsid w:val="5753718E"/>
    <w:rsid w:val="57EB29E7"/>
    <w:rsid w:val="5B8B53E3"/>
    <w:rsid w:val="5BD05788"/>
    <w:rsid w:val="5D5E5F51"/>
    <w:rsid w:val="617436E2"/>
    <w:rsid w:val="62666782"/>
    <w:rsid w:val="63CA1D16"/>
    <w:rsid w:val="647F69E5"/>
    <w:rsid w:val="64B31F24"/>
    <w:rsid w:val="67241C5B"/>
    <w:rsid w:val="685D3DC2"/>
    <w:rsid w:val="68723E96"/>
    <w:rsid w:val="688F2233"/>
    <w:rsid w:val="6BBD5EC0"/>
    <w:rsid w:val="6EC939F6"/>
    <w:rsid w:val="6F1F6167"/>
    <w:rsid w:val="6F8B49D7"/>
    <w:rsid w:val="72A735AD"/>
    <w:rsid w:val="742C5790"/>
    <w:rsid w:val="744C1208"/>
    <w:rsid w:val="7567545F"/>
    <w:rsid w:val="75E9335C"/>
    <w:rsid w:val="76FD6A38"/>
    <w:rsid w:val="774575D1"/>
    <w:rsid w:val="77E07839"/>
    <w:rsid w:val="7861550A"/>
    <w:rsid w:val="7A3A0587"/>
    <w:rsid w:val="7C5538A5"/>
    <w:rsid w:val="7D86047A"/>
    <w:rsid w:val="7FC73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22</TotalTime>
  <ScaleCrop>false</ScaleCrop>
  <LinksUpToDate>false</LinksUpToDate>
  <CharactersWithSpaces>1025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...＆dream</cp:lastModifiedBy>
  <dcterms:modified xsi:type="dcterms:W3CDTF">2020-02-21T10:21:37Z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