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F1" w:rsidRDefault="0083241B" w:rsidP="0083241B">
      <w:pPr>
        <w:spacing w:after="0" w:line="360" w:lineRule="auto"/>
        <w:jc w:val="center"/>
        <w:rPr>
          <w:rFonts w:ascii="Times New Roman" w:eastAsia="宋体" w:hAnsi="Times New Roman"/>
          <w:b/>
          <w:bCs/>
          <w:iCs/>
          <w:sz w:val="21"/>
        </w:rPr>
      </w:pPr>
      <w:r>
        <w:rPr>
          <w:rFonts w:ascii="Times New Roman" w:eastAsia="宋体" w:hAnsi="Times New Roman"/>
          <w:b/>
          <w:bCs/>
          <w:iCs/>
          <w:sz w:val="21"/>
        </w:rPr>
        <w:t>证券代码：</w:t>
      </w:r>
      <w:r>
        <w:rPr>
          <w:rFonts w:ascii="Times New Roman" w:eastAsia="宋体" w:hAnsi="Times New Roman"/>
          <w:b/>
          <w:bCs/>
          <w:iCs/>
          <w:sz w:val="21"/>
        </w:rPr>
        <w:t xml:space="preserve">300529                                             </w:t>
      </w:r>
      <w:r>
        <w:rPr>
          <w:rFonts w:ascii="Times New Roman" w:eastAsia="宋体" w:hAnsi="Times New Roman"/>
          <w:b/>
          <w:bCs/>
          <w:iCs/>
          <w:sz w:val="21"/>
        </w:rPr>
        <w:t>证券简称：健帆生物</w:t>
      </w:r>
    </w:p>
    <w:p w:rsidR="00FA2AF1" w:rsidRDefault="0083241B" w:rsidP="0036653F">
      <w:pPr>
        <w:spacing w:beforeLines="50" w:before="156" w:after="0" w:line="360" w:lineRule="auto"/>
        <w:jc w:val="center"/>
        <w:rPr>
          <w:rFonts w:ascii="Times New Roman" w:eastAsia="宋体" w:hAnsi="Times New Roman"/>
          <w:b/>
          <w:bCs/>
          <w:iCs/>
          <w:sz w:val="32"/>
          <w:szCs w:val="32"/>
        </w:rPr>
      </w:pPr>
      <w:proofErr w:type="gramStart"/>
      <w:r>
        <w:rPr>
          <w:rFonts w:ascii="Times New Roman" w:eastAsia="宋体" w:hAnsi="Times New Roman"/>
          <w:b/>
          <w:bCs/>
          <w:iCs/>
          <w:sz w:val="32"/>
          <w:szCs w:val="32"/>
        </w:rPr>
        <w:t>健帆生物</w:t>
      </w:r>
      <w:proofErr w:type="gramEnd"/>
      <w:r>
        <w:rPr>
          <w:rFonts w:ascii="Times New Roman" w:eastAsia="宋体" w:hAnsi="Times New Roman"/>
          <w:b/>
          <w:bCs/>
          <w:iCs/>
          <w:sz w:val="32"/>
          <w:szCs w:val="32"/>
        </w:rPr>
        <w:t>科技集团股份有限公司</w:t>
      </w:r>
    </w:p>
    <w:p w:rsidR="00FA2AF1" w:rsidRDefault="0083241B" w:rsidP="0036653F">
      <w:pPr>
        <w:spacing w:after="0" w:line="360" w:lineRule="auto"/>
        <w:jc w:val="center"/>
        <w:rPr>
          <w:rFonts w:ascii="Times New Roman" w:eastAsia="宋体" w:hAnsi="Times New Roman"/>
          <w:b/>
          <w:bCs/>
          <w:iCs/>
          <w:sz w:val="32"/>
          <w:szCs w:val="32"/>
        </w:rPr>
      </w:pPr>
      <w:r>
        <w:rPr>
          <w:rFonts w:ascii="Times New Roman" w:eastAsia="宋体" w:hAnsi="Times New Roman"/>
          <w:b/>
          <w:bCs/>
          <w:iCs/>
          <w:sz w:val="32"/>
          <w:szCs w:val="32"/>
        </w:rPr>
        <w:t>投资者关系活动记录表</w:t>
      </w:r>
    </w:p>
    <w:p w:rsidR="00FA2AF1" w:rsidRPr="0036653F" w:rsidRDefault="0083241B" w:rsidP="0083241B">
      <w:pPr>
        <w:spacing w:after="0" w:line="360" w:lineRule="auto"/>
        <w:jc w:val="right"/>
        <w:rPr>
          <w:rFonts w:ascii="Times New Roman" w:eastAsia="宋体" w:hAnsi="Times New Roman"/>
          <w:bCs/>
          <w:iCs/>
          <w:sz w:val="21"/>
          <w:szCs w:val="24"/>
        </w:rPr>
      </w:pPr>
      <w:r>
        <w:rPr>
          <w:rFonts w:ascii="Times New Roman" w:eastAsia="宋体" w:hAnsi="Times New Roman"/>
          <w:bCs/>
          <w:iCs/>
          <w:sz w:val="24"/>
          <w:szCs w:val="24"/>
        </w:rPr>
        <w:t xml:space="preserve">                                                </w:t>
      </w:r>
      <w:r w:rsidRPr="0036653F">
        <w:rPr>
          <w:rFonts w:ascii="Times New Roman" w:eastAsia="宋体" w:hAnsi="Times New Roman"/>
          <w:bCs/>
          <w:iCs/>
          <w:sz w:val="21"/>
          <w:szCs w:val="24"/>
        </w:rPr>
        <w:t xml:space="preserve">      </w:t>
      </w:r>
      <w:r w:rsidRPr="0036653F">
        <w:rPr>
          <w:rFonts w:ascii="Times New Roman" w:eastAsia="宋体" w:hAnsi="Times New Roman"/>
          <w:bCs/>
          <w:iCs/>
          <w:sz w:val="21"/>
          <w:szCs w:val="24"/>
        </w:rPr>
        <w:t>编号：</w:t>
      </w:r>
      <w:r w:rsidRPr="0036653F">
        <w:rPr>
          <w:rFonts w:ascii="Times New Roman" w:eastAsia="宋体" w:hAnsi="Times New Roman"/>
          <w:bCs/>
          <w:iCs/>
          <w:sz w:val="21"/>
          <w:szCs w:val="24"/>
        </w:rPr>
        <w:t>2020-002</w:t>
      </w: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5"/>
        <w:gridCol w:w="3559"/>
      </w:tblGrid>
      <w:tr w:rsidR="00FA2AF1" w:rsidTr="00207130">
        <w:trPr>
          <w:trHeight w:val="24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分析师会议</w:t>
            </w:r>
          </w:p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业绩说明会</w:t>
            </w:r>
          </w:p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路演活动</w:t>
            </w:r>
          </w:p>
          <w:p w:rsidR="00FA2AF1" w:rsidRDefault="0083241B" w:rsidP="0083241B">
            <w:pPr>
              <w:tabs>
                <w:tab w:val="left" w:pos="3045"/>
                <w:tab w:val="center" w:pos="3199"/>
              </w:tabs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ab/>
            </w:r>
          </w:p>
          <w:p w:rsidR="00FA2AF1" w:rsidRDefault="0083241B" w:rsidP="0083241B">
            <w:pPr>
              <w:tabs>
                <w:tab w:val="center" w:pos="3199"/>
              </w:tabs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其他（电话会议）</w:t>
            </w:r>
          </w:p>
        </w:tc>
      </w:tr>
      <w:tr w:rsidR="00FA2AF1" w:rsidTr="000E05CD">
        <w:trPr>
          <w:trHeight w:val="7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海通证券：余文心，贺文斌</w:t>
            </w:r>
          </w:p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广发基金、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交银施罗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德、北信瑞丰、华商基金、华夏基金、华泰柏瑞基金、东吴基金、东海基金、东海证券、中金基金、中银基金、中海基金、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中融基金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、嘉实基金、国泰君安、大成基金、宝盈基金、富国基金、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工银瑞信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、招商基金、南方基金、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鹏扬基金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、易方达、民生加银、高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瓴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资本、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Blackrock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瀚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川投资、中信资管等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130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余名投资者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兴业证券：</w:t>
            </w:r>
            <w:r w:rsidR="00C1749F" w:rsidRPr="00C1749F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徐佳熹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、张佳博</w:t>
            </w:r>
          </w:p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上投摩根、广发基金、东吴基金、兴全基金、中银基金、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交银施罗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德、人保养老、前海人寿保险、信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达澳银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、华夏基金、华安基金、南方基金、博时基金、嘉实基金、大成基金、富国基金、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工银瑞信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、易方达、德邦、宝盈基金、华泰柏瑞、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汇添富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、海富通、长城基金、鹏华基金、富兰克林基金、人保养老、中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再资产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130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余名投资者</w:t>
            </w:r>
          </w:p>
        </w:tc>
      </w:tr>
      <w:tr w:rsidR="00FA2AF1" w:rsidTr="00207130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黑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19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~2020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日</w:t>
            </w:r>
          </w:p>
        </w:tc>
      </w:tr>
      <w:tr w:rsidR="00FA2AF1" w:rsidTr="00207130">
        <w:trPr>
          <w:trHeight w:val="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电话会议</w:t>
            </w:r>
          </w:p>
        </w:tc>
      </w:tr>
      <w:tr w:rsidR="00FA2AF1" w:rsidTr="00207130">
        <w:trPr>
          <w:trHeight w:val="7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75" w:rsidRDefault="001A3ABF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董事长、总经理：董凡先生</w:t>
            </w:r>
          </w:p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董事、副总经理：唐先敏女士</w:t>
            </w:r>
          </w:p>
          <w:p w:rsidR="00480975" w:rsidRDefault="001A3ABF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董事会秘书：张明渊先生</w:t>
            </w:r>
          </w:p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财务</w:t>
            </w:r>
            <w:r w:rsidR="00B619F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中心</w:t>
            </w:r>
            <w:bookmarkStart w:id="0" w:name="_GoBack"/>
            <w:bookmarkEnd w:id="0"/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负责人：何小莲先生</w:t>
            </w:r>
          </w:p>
        </w:tc>
      </w:tr>
      <w:tr w:rsidR="00FA2AF1" w:rsidTr="00207130">
        <w:trPr>
          <w:trHeight w:val="17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lastRenderedPageBreak/>
              <w:t>投资者关系活动主要内容介绍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Default="0036653F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</w:p>
          <w:p w:rsidR="00FA2AF1" w:rsidRDefault="0083241B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一、公司董事长、总经理董凡先生介绍公司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年度的经营亮点及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年的工作开展情况；</w:t>
            </w:r>
          </w:p>
          <w:p w:rsidR="00FA2AF1" w:rsidRDefault="0083241B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（一）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年度经营亮点</w:t>
            </w:r>
          </w:p>
          <w:p w:rsidR="00FA2AF1" w:rsidRDefault="0083241B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年度公司聚焦主营业务，深耕细作，取得了不错的经营业绩，主营收入实现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40%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的增长，净利润增长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42%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扣非后</w:t>
            </w:r>
            <w:proofErr w:type="gramEnd"/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净利润增长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48%</w:t>
            </w:r>
            <w:r w:rsidR="0080773A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公司业绩增长主要是因为主营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业务的增长</w:t>
            </w:r>
            <w:r w:rsidR="0080773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，全国</w:t>
            </w:r>
            <w:r w:rsidR="0080773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5000</w:t>
            </w:r>
            <w:r w:rsidR="0080773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多家医院在使用公司的产品。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肾病业务增长了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46%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，保持</w:t>
            </w:r>
            <w:r w:rsidR="0080773A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着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80%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以上的市占率，</w:t>
            </w:r>
            <w:r w:rsidR="0080773A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并实现覆盖全国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4900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余家医院；肝病业务的增长比肾病业务更快，实现了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64%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的增速，其中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一市</w:t>
            </w:r>
            <w:proofErr w:type="gramStart"/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中心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挂牌的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138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家医院的收入实现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115%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的增长，目前已有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700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多家医院使用公司产品。</w:t>
            </w:r>
          </w:p>
          <w:p w:rsidR="00FA2AF1" w:rsidRDefault="0083241B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年，公司海外推广进展不错，产品在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个国家实现了销售，并进入了德国、泰国等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个国家医保。去年公司第一次在珠海独家举办了全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14</w:t>
            </w:r>
            <w:r w:rsidR="00FB2381">
              <w:rPr>
                <w:rFonts w:ascii="Times New Roman" w:eastAsia="宋体" w:hAnsi="Times New Roman"/>
                <w:iCs/>
                <w:sz w:val="24"/>
                <w:szCs w:val="24"/>
              </w:rPr>
              <w:t>个国家专家参加的血液吸附高峰论坛，国内的陈香美院士、意大利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RANCO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教授作为主席</w:t>
            </w:r>
            <w:r w:rsidR="00FB2381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共计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400</w:t>
            </w:r>
            <w:r w:rsidR="007D1508">
              <w:rPr>
                <w:rFonts w:ascii="Times New Roman" w:eastAsia="宋体" w:hAnsi="Times New Roman"/>
                <w:iCs/>
                <w:sz w:val="24"/>
                <w:szCs w:val="24"/>
              </w:rPr>
              <w:t>余名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专家参会。这次会议把公司的血液吸附技术、产品和品牌更好地推向了世界各地。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月公司在德国柏林启动了</w:t>
            </w:r>
            <w:r w:rsidR="0080773A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一项新的</w:t>
            </w:r>
            <w:r w:rsidR="0080773A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RCT</w:t>
            </w:r>
            <w:r w:rsidR="0080773A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研究——</w:t>
            </w:r>
            <w:proofErr w:type="gramStart"/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健帆</w:t>
            </w:r>
            <w:r w:rsidR="00252DC7">
              <w:rPr>
                <w:rFonts w:ascii="Times New Roman" w:eastAsia="宋体" w:hAnsi="Times New Roman"/>
                <w:iCs/>
                <w:sz w:val="24"/>
                <w:szCs w:val="24"/>
              </w:rPr>
              <w:t>全球脓</w:t>
            </w:r>
            <w:proofErr w:type="gramEnd"/>
            <w:r w:rsidR="00252DC7">
              <w:rPr>
                <w:rFonts w:ascii="Times New Roman" w:eastAsia="宋体" w:hAnsi="Times New Roman"/>
                <w:iCs/>
                <w:sz w:val="24"/>
                <w:szCs w:val="24"/>
              </w:rPr>
              <w:t>毒</w:t>
            </w:r>
            <w:r w:rsidR="007D1508">
              <w:rPr>
                <w:rFonts w:ascii="Times New Roman" w:eastAsia="宋体" w:hAnsi="Times New Roman"/>
                <w:iCs/>
                <w:sz w:val="24"/>
                <w:szCs w:val="24"/>
              </w:rPr>
              <w:t>血症多中心临床研究，将</w:t>
            </w:r>
            <w:r w:rsidR="00252DC7">
              <w:rPr>
                <w:rFonts w:ascii="Times New Roman" w:eastAsia="宋体" w:hAnsi="Times New Roman"/>
                <w:iCs/>
                <w:sz w:val="24"/>
                <w:szCs w:val="24"/>
              </w:rPr>
              <w:t>进一步提高</w:t>
            </w:r>
            <w:proofErr w:type="gramStart"/>
            <w:r w:rsidR="00252DC7">
              <w:rPr>
                <w:rFonts w:ascii="Times New Roman" w:eastAsia="宋体" w:hAnsi="Times New Roman"/>
                <w:iCs/>
                <w:sz w:val="24"/>
                <w:szCs w:val="24"/>
              </w:rPr>
              <w:t>健帆品牌</w:t>
            </w:r>
            <w:proofErr w:type="gramEnd"/>
            <w:r w:rsidR="00252DC7">
              <w:rPr>
                <w:rFonts w:ascii="Times New Roman" w:eastAsia="宋体" w:hAnsi="Times New Roman"/>
                <w:iCs/>
                <w:sz w:val="24"/>
                <w:szCs w:val="24"/>
              </w:rPr>
              <w:t>的国际知名度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。</w:t>
            </w:r>
          </w:p>
          <w:p w:rsidR="00FA2AF1" w:rsidRDefault="0083241B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年的另一个重要进展是公司新产品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KHA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系列产品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取得国家药监局新颁发的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III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类医疗器械注册证。该新产品专门面向尿毒症患者</w:t>
            </w:r>
            <w:r w:rsidR="007D1508">
              <w:rPr>
                <w:rFonts w:ascii="Times New Roman" w:eastAsia="宋体" w:hAnsi="Times New Roman"/>
                <w:iCs/>
                <w:sz w:val="24"/>
                <w:szCs w:val="24"/>
              </w:rPr>
              <w:t>，吸附效率更高，能</w:t>
            </w:r>
            <w:r w:rsidR="007D1508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公司现有产品形成强有力的组合，加深公司护城河，也</w:t>
            </w:r>
            <w:r w:rsidR="007D1508">
              <w:rPr>
                <w:rFonts w:ascii="Times New Roman" w:eastAsia="宋体" w:hAnsi="Times New Roman"/>
                <w:iCs/>
                <w:sz w:val="24"/>
                <w:szCs w:val="24"/>
              </w:rPr>
              <w:t>能增强公司面对</w:t>
            </w:r>
            <w:r w:rsidR="00252DC7">
              <w:rPr>
                <w:rFonts w:ascii="Times New Roman" w:eastAsia="宋体" w:hAnsi="Times New Roman"/>
                <w:iCs/>
                <w:sz w:val="24"/>
                <w:szCs w:val="24"/>
              </w:rPr>
              <w:t>政策变动风险的应对能力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。</w:t>
            </w:r>
          </w:p>
          <w:p w:rsidR="00FA2AF1" w:rsidRDefault="0083241B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公司全年取得的经营成绩最离不开的是公司的人才，这是公司最宝贵的财富。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年公司新引入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余名优秀人才，目前有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18</w:t>
            </w:r>
            <w:r w:rsidR="00C73207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余名员工。公司在实现人才数量的增长，也实现了对人才激励强度的增强。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年公司新实施了两期股票期权激励计划，新覆盖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600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余人。公司上市三年多的时间里共计实施了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期激励计划，累计覆盖了近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名员工，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极大地激发了员工的创造力、积极性。</w:t>
            </w:r>
          </w:p>
          <w:p w:rsidR="00FA2AF1" w:rsidRDefault="0083241B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年公司的新业务中，保险业务值得一提。保险是公司战略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lastRenderedPageBreak/>
              <w:t>布局的重要产品，公司联合</w:t>
            </w:r>
            <w:proofErr w:type="gramStart"/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众惠保险</w:t>
            </w:r>
            <w:proofErr w:type="gramEnd"/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对慢性肾病患者推出了</w:t>
            </w:r>
            <w:r w:rsidR="00C73207">
              <w:rPr>
                <w:rFonts w:ascii="Times New Roman" w:eastAsia="宋体" w:hAnsi="Times New Roman"/>
                <w:iCs/>
                <w:sz w:val="24"/>
                <w:szCs w:val="24"/>
              </w:rPr>
              <w:t>肾病保险，若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慢性肾病病人发展为肾衰竭，可最多获得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万元的赔偿。该保险产品在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年已开始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销售，</w:t>
            </w:r>
            <w:r w:rsidR="00A46DE2">
              <w:rPr>
                <w:rFonts w:ascii="Times New Roman" w:eastAsia="宋体" w:hAnsi="Times New Roman"/>
                <w:iCs/>
                <w:sz w:val="24"/>
                <w:szCs w:val="24"/>
              </w:rPr>
              <w:t>并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实现一定的销售额，相信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会有更好的发展。</w:t>
            </w:r>
          </w:p>
          <w:p w:rsidR="00FA2AF1" w:rsidRDefault="00FA2AF1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iCs/>
                <w:sz w:val="24"/>
                <w:szCs w:val="24"/>
              </w:rPr>
            </w:pPr>
          </w:p>
          <w:p w:rsidR="00FA2AF1" w:rsidRDefault="0083241B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（二）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年工作开展情况</w:t>
            </w:r>
          </w:p>
          <w:p w:rsidR="0005074A" w:rsidRDefault="0083241B" w:rsidP="0005074A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1</w:t>
            </w:r>
            <w:r w:rsid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、复工复产方面：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公司整体已于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日实现全面复工，目前复工率达到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82%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，在整个珠海都处于领先。目前公司生产活动基本正常开展，但尚未“开足马力”，产量与正常情况下有一定差距。</w:t>
            </w:r>
            <w:r w:rsidR="00AD73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血液灌流器产品有一定的储备库存，还能满足</w:t>
            </w:r>
            <w:r w:rsidR="00941E4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当下需求。值得欣慰的是全国疫情在慢慢好转，估计一段时间内公司可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实现更充分的复工和经营活动。</w:t>
            </w:r>
          </w:p>
          <w:p w:rsidR="00AA012E" w:rsidRDefault="0083241B" w:rsidP="004307F1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2</w:t>
            </w:r>
            <w:r w:rsidRP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、</w:t>
            </w:r>
            <w:proofErr w:type="gramStart"/>
            <w:r w:rsidR="00941E45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践行</w:t>
            </w:r>
            <w:proofErr w:type="gramEnd"/>
            <w:r w:rsidR="00941E45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社会责任</w:t>
            </w:r>
            <w:r w:rsid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方面：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春节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期间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</w:t>
            </w:r>
            <w:r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迅速行动</w:t>
            </w:r>
            <w:r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向湖北疫情区捐赠了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700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万元，其中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200</w:t>
            </w:r>
            <w:r w:rsidR="004B557A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现金，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500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</w:t>
            </w:r>
            <w:r w:rsidR="00FE3CD0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医疗物资</w:t>
            </w:r>
            <w:r w:rsidR="004B557A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</w:t>
            </w:r>
            <w:r w:rsidR="00FE3CD0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目前公司已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向湖北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家医院捐赠</w:t>
            </w:r>
            <w:r w:rsidR="000D3D1D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了</w:t>
            </w:r>
            <w:r w:rsidR="00FE3CD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500</w:t>
            </w:r>
            <w:r w:rsidR="000D3D1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万元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人工肝设备</w:t>
            </w:r>
            <w:r w:rsidR="000D3D1D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（</w:t>
            </w:r>
            <w:r w:rsidR="000D3D1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DX-10</w:t>
            </w:r>
            <w:r w:rsidR="000D3D1D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血液净化机）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及配套耗材等医疗物资</w:t>
            </w:r>
            <w:r w:rsidR="000D3D1D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，且均已投入使用</w:t>
            </w:r>
            <w:r w:rsidR="0024456D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 w:rsidR="004D0778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公司</w:t>
            </w:r>
            <w:r w:rsidR="00FB238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与</w:t>
            </w:r>
            <w:r w:rsidR="0002335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员工</w:t>
            </w:r>
            <w:r w:rsidR="00FB238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一起</w:t>
            </w:r>
            <w:r w:rsidR="001636C7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再</w:t>
            </w:r>
            <w:r w:rsidR="004D0778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捐赠了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1000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</w:t>
            </w:r>
            <w:r w:rsidR="00F715B6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现金</w:t>
            </w:r>
            <w:r w:rsidR="004D0778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</w:t>
            </w:r>
            <w:r w:rsidR="001636C7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专项用于</w:t>
            </w:r>
            <w:r w:rsidR="004E68F7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为万名医护人员捐赠疫病专项保险</w:t>
            </w:r>
            <w:r w:rsidR="006A466B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“</w:t>
            </w:r>
            <w:r w:rsidR="006A466B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医护人员特定传染病保险</w:t>
            </w:r>
            <w:r w:rsidR="006A466B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”</w:t>
            </w:r>
            <w:r w:rsidR="004E68F7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，为抗</w:t>
            </w:r>
            <w:proofErr w:type="gramStart"/>
            <w:r w:rsidR="004E68F7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疫</w:t>
            </w:r>
            <w:proofErr w:type="gramEnd"/>
            <w:r w:rsidR="004E68F7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前线</w:t>
            </w:r>
            <w:r w:rsidR="006A466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</w:t>
            </w:r>
            <w:r w:rsidR="004E68F7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医护提供</w:t>
            </w:r>
            <w:r w:rsidR="0067117C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关爱和风险保障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</w:t>
            </w:r>
            <w:r w:rsidR="00432E10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该</w:t>
            </w:r>
            <w:r w:rsidR="00432E10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专项保险</w:t>
            </w:r>
            <w:r w:rsidR="00432E1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公司与</w:t>
            </w:r>
            <w:proofErr w:type="gramStart"/>
            <w:r w:rsidR="0067117C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众惠</w:t>
            </w:r>
            <w:r w:rsidR="006A466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保险</w:t>
            </w:r>
            <w:proofErr w:type="gramEnd"/>
            <w:r w:rsidR="006A466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创新性地</w:t>
            </w:r>
            <w:r w:rsidR="0067117C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定制</w:t>
            </w:r>
            <w:r w:rsidR="00F715B6"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，疾病范围包括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新冠肺炎、非典、禽流感、霍乱、鼠疫</w:t>
            </w:r>
            <w:r w:rsidR="00DE4EA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</w:t>
            </w:r>
            <w:r w:rsidR="00DE4EA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天花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等特定传染病。被保险人若确诊感染新冠肺炎即可获赔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10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万元，若因新冠肺炎导致身故将获赔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100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</w:t>
            </w:r>
            <w:r w:rsidR="00807888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</w:t>
            </w:r>
            <w:r w:rsidRPr="0083241B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目前</w:t>
            </w:r>
            <w:r w:rsidR="00807888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已有</w:t>
            </w:r>
            <w:r w:rsidR="00DE4EA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上</w:t>
            </w:r>
            <w:r w:rsidR="00807888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万名医护人员获赠该保险。至此，</w:t>
            </w:r>
            <w:r w:rsidR="0080788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公司累计已捐款</w:t>
            </w:r>
            <w:r w:rsidR="00F97D8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约</w:t>
            </w:r>
            <w:r w:rsidR="0080788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1700</w:t>
            </w:r>
            <w:r w:rsidR="0080788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万元，也是</w:t>
            </w:r>
            <w:r w:rsidR="00807888" w:rsidRP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健帆“吃水不忘挖井人”的感恩之心和</w:t>
            </w:r>
            <w:r w:rsidR="00807888" w:rsidRPr="0080788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助力国家共克时艰</w:t>
            </w:r>
            <w:r w:rsidR="006A7C6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的社会责任感的体现。</w:t>
            </w:r>
          </w:p>
          <w:p w:rsidR="0005074A" w:rsidRDefault="0083241B" w:rsidP="0005074A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 w:rsidRP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3</w:t>
            </w:r>
            <w:r w:rsidRP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、公司</w:t>
            </w:r>
            <w:r w:rsidRPr="00F84B94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DPMAS</w:t>
            </w:r>
            <w:r w:rsidRP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人工肝技术推广情况</w:t>
            </w:r>
            <w:r w:rsidR="00F84B94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：</w:t>
            </w:r>
          </w:p>
          <w:p w:rsidR="00FA2AF1" w:rsidRDefault="0083241B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2020</w:t>
            </w:r>
            <w:r w:rsidR="00932E5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全国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上下受新冠肺炎（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NCP</w:t>
            </w:r>
            <w:r w:rsidR="0087298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）疫情影响。公司的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人工肝</w:t>
            </w:r>
            <w:r w:rsidR="0087298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技术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原本用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于救治重症肝病患者，其原理是重症肝病患者由于肝衰竭引起大量的炎症反应，也就是俗称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“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炎症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因子风暴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，公司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灌流器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可以快速有效地清除炎症因子，从而阻断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炎症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因子风暴，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有效</w:t>
            </w:r>
            <w:r w:rsidR="0002335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减缓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lastRenderedPageBreak/>
              <w:t>病人重要脏器衰竭情形，防止患者</w:t>
            </w:r>
            <w:proofErr w:type="gramStart"/>
            <w:r w:rsidR="0002335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重要</w:t>
            </w:r>
            <w:proofErr w:type="gramEnd"/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脏器衰竭引起的死亡。而新冠肺炎重症病例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也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呈现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“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炎症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因子风暴”</w:t>
            </w:r>
            <w:r w:rsidR="00932E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李兰娟院</w:t>
            </w:r>
            <w:r w:rsidR="000C048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士带领</w:t>
            </w:r>
            <w:r w:rsidR="000C048D" w:rsidRPr="000C048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专家组</w:t>
            </w:r>
            <w:r w:rsidR="000C048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在武汉大学人民医院东院区</w:t>
            </w:r>
            <w:r w:rsidR="0039187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已</w:t>
            </w:r>
            <w:r w:rsidR="00932E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通过实施</w:t>
            </w:r>
            <w:r w:rsidR="000C048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人工肝技术抢救了数位重症新冠患者</w:t>
            </w:r>
            <w:r w:rsidR="009B22A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，其</w:t>
            </w:r>
            <w:r w:rsidR="009B22A7" w:rsidRPr="009B22A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救治过程</w:t>
            </w:r>
            <w:r w:rsidR="00DE780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已经</w:t>
            </w:r>
            <w:r w:rsidR="009B22A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对</w:t>
            </w:r>
            <w:r w:rsidR="009B22A7" w:rsidRPr="009B22A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</w:t>
            </w:r>
            <w:r w:rsidR="001F587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在技术和品牌推广方面</w:t>
            </w:r>
            <w:r w:rsidR="009B22A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产生</w:t>
            </w:r>
            <w:r w:rsidR="001F587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了</w:t>
            </w:r>
            <w:r w:rsidR="009B22A7" w:rsidRPr="009B22A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促进</w:t>
            </w:r>
            <w:r w:rsidR="009B22A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作用</w:t>
            </w:r>
            <w:r w:rsidR="0039187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55224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</w:t>
            </w:r>
            <w:r w:rsidR="0055224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 w:rsidR="0055224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19</w:t>
            </w:r>
            <w:r w:rsidR="0055224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日，李兰娟院士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联合多名专家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发布了《</w:t>
            </w:r>
            <w:r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人工肝血液净化系统应用毒肺炎治疗的专家共识》，</w:t>
            </w:r>
            <w:r w:rsidR="00813EB1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推荐使用包括血浆吸附或双重血浆分子吸附、灌流等技术在内的人工肝血液净化系统</w:t>
            </w:r>
            <w:r w:rsidR="00416150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；</w:t>
            </w:r>
            <w:r w:rsidR="00813EB1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同时，</w:t>
            </w:r>
            <w:r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国家卫生健康委员会</w:t>
            </w:r>
            <w:r w:rsidR="00CA542B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于</w:t>
            </w:r>
            <w:r w:rsidR="00CA542B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</w:t>
            </w:r>
            <w:r w:rsidR="00CA542B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 w:rsidR="00CA542B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19</w:t>
            </w:r>
            <w:r w:rsidR="00D313CF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日</w:t>
            </w:r>
            <w:r w:rsidR="00586C50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发布的《新型冠状病毒肺炎诊疗方案</w:t>
            </w:r>
            <w:r w:rsidR="00586C50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(</w:t>
            </w:r>
            <w:r w:rsidR="00586C50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试行第六版</w:t>
            </w:r>
            <w:r w:rsidR="00586C50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)</w:t>
            </w:r>
            <w:r w:rsidR="00586C50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》中</w:t>
            </w:r>
            <w:r w:rsidR="00CA542B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明确</w:t>
            </w:r>
            <w:r w:rsidR="00813EB1"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提出</w:t>
            </w:r>
            <w:r w:rsidRPr="00E046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：对有高炎症反应的重危患者，有条件的可以考虑使用吸附、灌流、</w:t>
            </w:r>
            <w:r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等体外血液净化技术。</w:t>
            </w:r>
            <w:r w:rsidR="00416150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这是新冠肺炎《诊治指南》中首次提及灌流、吸附等技术，</w:t>
            </w:r>
            <w:r w:rsidR="00932E51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而</w:t>
            </w:r>
            <w:r w:rsidR="00D313CF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血液灌流、双重血浆分子吸附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等治疗方式</w:t>
            </w:r>
            <w:r w:rsidR="00D313CF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是公司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灌流器产品</w:t>
            </w:r>
            <w:r w:rsidR="00D313CF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独特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对应的</w:t>
            </w:r>
            <w:r w:rsidR="00D313CF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领先技术</w:t>
            </w:r>
            <w:r w:rsidR="000C048D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FE763B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公司于</w:t>
            </w:r>
            <w:r w:rsidR="00FE763B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2019</w:t>
            </w:r>
            <w:r w:rsidR="00FE763B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年新推出的</w:t>
            </w:r>
            <w:r w:rsidR="00FE763B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HA380</w:t>
            </w:r>
            <w:r w:rsidR="00FE763B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在本次疫情中</w:t>
            </w:r>
            <w:r w:rsidR="00FD0B25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也大显身手，</w:t>
            </w:r>
            <w:r w:rsidR="00196A6C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HA380</w:t>
            </w:r>
            <w:r w:rsidR="00196A6C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专为危重症患者定制开发，</w:t>
            </w:r>
            <w:r w:rsidR="00FD0B25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包括武汉协和、同济医院等均</w:t>
            </w:r>
            <w:r w:rsidR="00196A6C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</w:t>
            </w:r>
            <w:r w:rsidR="00FD0B25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使用</w:t>
            </w:r>
            <w:r w:rsidR="00196A6C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公司产品</w:t>
            </w:r>
            <w:r w:rsidR="00FD0B25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，有力</w:t>
            </w:r>
            <w:r w:rsidR="00F65743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地</w:t>
            </w:r>
            <w:r w:rsidR="00FD0B25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打响了健帆品牌知名度</w:t>
            </w:r>
            <w:r w:rsidR="00FE763B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477CDC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</w:t>
            </w:r>
            <w:r w:rsidR="009B25D4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本次</w:t>
            </w:r>
            <w:r w:rsidR="00477CDC" w:rsidRPr="00E0488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疫情</w:t>
            </w:r>
            <w:r w:rsidR="00477CD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期间，</w:t>
            </w:r>
            <w:r w:rsidR="0005074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人工肝技术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得到了极大的推广</w:t>
            </w:r>
            <w:r w:rsidR="00E572F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r w:rsidR="00F8314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因此公司对未来肝科业务</w:t>
            </w:r>
            <w:r w:rsidR="00BA663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</w:t>
            </w:r>
            <w:r w:rsidR="0005074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非常乐观的。</w:t>
            </w:r>
          </w:p>
          <w:p w:rsidR="00FA2AF1" w:rsidRDefault="00160E8C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整体上，公司的经营活动，</w:t>
            </w:r>
            <w:r w:rsid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短期内或因捐赠、生产效率被迫降低、运输成本增加等原因</w:t>
            </w:r>
            <w:r w:rsidR="008034C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有一定成本的上升，经营效率受</w:t>
            </w:r>
            <w:r w:rsidR="00576C2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到一定的</w:t>
            </w:r>
            <w:r w:rsidR="0083241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影响。但长期来看，</w:t>
            </w:r>
            <w:r w:rsidR="00EB74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公司的肝病业务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是非常乐观的</w:t>
            </w:r>
            <w:r w:rsidR="00EB74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，而肾病领域，由于血液透析是尿毒症患者的刚需，基本上受本次疫情的影响</w:t>
            </w:r>
            <w:r w:rsidR="00F97D8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有限</w:t>
            </w:r>
            <w:r w:rsidR="00B1784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r w:rsidR="0005074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公司对实现全年的经营目标是</w:t>
            </w:r>
            <w:r w:rsidR="0002335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充满</w:t>
            </w:r>
            <w:r w:rsidR="0005074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信心的。</w:t>
            </w:r>
          </w:p>
          <w:p w:rsidR="00175FB2" w:rsidRDefault="00175FB2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</w:p>
          <w:p w:rsidR="00FA2AF1" w:rsidRDefault="0083241B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二、互动交流环节</w:t>
            </w:r>
          </w:p>
          <w:p w:rsidR="00D948C9" w:rsidRDefault="00D948C9" w:rsidP="00D948C9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问题</w:t>
            </w:r>
            <w:proofErr w:type="gramStart"/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：公司肝病业务在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年下半年的增速提速的原因是什么？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948C9" w:rsidRPr="003100BA" w:rsidRDefault="00D948C9" w:rsidP="00D948C9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主要原因有两个</w:t>
            </w:r>
            <w:r w:rsidR="009675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方面：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一</w:t>
            </w:r>
            <w:r w:rsidR="00431E6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公司肝科销售团队人员的增加</w:t>
            </w:r>
            <w:r w:rsidR="00DB755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公司在上半年新引入</w:t>
            </w:r>
            <w:r w:rsidR="006A0FD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推广人员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，使肝科销售团队</w:t>
            </w:r>
            <w:r w:rsidRPr="0090281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从几十名增加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到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150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名。肝科销售人员不同于肾科，对人员素质要求更高，更侧重实用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lastRenderedPageBreak/>
              <w:t>技术的推广，相当于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“技术工程师”，因此新</w:t>
            </w:r>
            <w:r w:rsidR="00DD16DE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引入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人员需要一定的培育期才能真正发挥作用。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年上半年新引入的人员在下半年</w:t>
            </w:r>
            <w:r w:rsidR="00227AA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开始</w:t>
            </w:r>
            <w:r w:rsidR="00146A5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发挥作用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，使公司肝病业务在下半年的增速提速。第二个原因是公司的“聚焦策略”，要求销售人员重点挖掘现有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138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家“一市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中心”人工肝挂牌医院的销售潜力。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年公司在上述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138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家挂牌医院实现</w:t>
            </w:r>
            <w:r w:rsidR="00832E0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了翻倍的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增长，也证明了公司“聚焦策略”的正确性和有效性。</w:t>
            </w:r>
          </w:p>
          <w:p w:rsidR="00D948C9" w:rsidRPr="00221FE6" w:rsidRDefault="00D948C9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FA2AF1" w:rsidRPr="000E05CD" w:rsidRDefault="0083241B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 w:rsidRPr="000E05CD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问题</w:t>
            </w:r>
            <w:r w:rsidR="00D948C9" w:rsidRPr="000E05CD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二</w:t>
            </w:r>
            <w:r w:rsidRPr="000E05CD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：</w:t>
            </w:r>
            <w:r w:rsidR="009500FE" w:rsidRPr="000E05C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肝科业务方面，</w:t>
            </w:r>
            <w:r w:rsidR="006F4350" w:rsidRPr="000E05C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能否展望下</w:t>
            </w:r>
            <w:r w:rsidR="006F4350" w:rsidRPr="000E05C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2020</w:t>
            </w:r>
            <w:r w:rsidR="006F4350" w:rsidRPr="000E05C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年及未来的发展？</w:t>
            </w:r>
          </w:p>
          <w:p w:rsidR="00E80938" w:rsidRDefault="00586C50" w:rsidP="009A1E0C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0E05C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答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：</w:t>
            </w:r>
            <w:r w:rsidRPr="00586C5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目前公司人工肝技术已写进李兰娟院士的《人工肝血液净化系统应用毒肺炎治疗的专家共识》和《新冠肺炎诊疗方案</w:t>
            </w:r>
            <w:r w:rsidRPr="00586C5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(</w:t>
            </w:r>
            <w:r w:rsidRPr="00586C5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试行第六版</w:t>
            </w:r>
            <w:r w:rsidRPr="00586C5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)</w:t>
            </w:r>
            <w:r w:rsidR="00477CD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》，</w:t>
            </w:r>
            <w:r w:rsidR="002346E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实践也证明</w:t>
            </w:r>
            <w:r w:rsidR="00477CDC" w:rsidRPr="00813EB1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包括血浆吸</w:t>
            </w:r>
            <w:r w:rsidR="00477CD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附或双重血浆分子吸附、灌流等技术在内的人工肝血液净化系统来治疗新冠肺炎</w:t>
            </w:r>
            <w:r w:rsidR="002346E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是有效的</w:t>
            </w:r>
            <w:r w:rsidR="00477CD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。在李兰娟院士的示范和推广下，全国各地驰援湖北的专家团亲眼见到人工肝技术的诊疗效果，并</w:t>
            </w:r>
            <w:r w:rsidR="000533D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陆续</w:t>
            </w:r>
            <w:r w:rsidR="00477CD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在湖北</w:t>
            </w:r>
            <w:r w:rsidR="000533D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其他定点</w:t>
            </w:r>
            <w:r w:rsidR="002346E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医院开展人工肝技术，对公司人工肝的推广是“如虎添翼”，相信公司</w:t>
            </w:r>
            <w:r w:rsidR="002346E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2020</w:t>
            </w:r>
            <w:r w:rsidR="002346E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年肝科业务</w:t>
            </w:r>
            <w:r w:rsidR="006A0FD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是乐观的</w:t>
            </w:r>
            <w:r w:rsidR="002346E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111D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目前</w:t>
            </w:r>
            <w:r w:rsidR="009A1E0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r w:rsidR="00111D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湖北</w:t>
            </w:r>
            <w:r w:rsidR="00111D04" w:rsidRPr="0025499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数家医院已向公司采购人工肝设备，公司</w:t>
            </w:r>
            <w:r w:rsidR="00111D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专门</w:t>
            </w:r>
            <w:r w:rsidR="00111D04" w:rsidRPr="0025499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生产血液净化机（即人工肝设备）</w:t>
            </w:r>
            <w:r w:rsidR="00111D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的子公司北京</w:t>
            </w:r>
            <w:proofErr w:type="gramStart"/>
            <w:r w:rsidR="00111D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健帆</w:t>
            </w:r>
            <w:r w:rsidR="00111D04" w:rsidRPr="0025499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于</w:t>
            </w:r>
            <w:proofErr w:type="gramEnd"/>
            <w:r w:rsidR="00111D04" w:rsidRPr="0025499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</w:t>
            </w:r>
            <w:r w:rsidR="00111D04" w:rsidRPr="0025499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 w:rsidR="00111D04" w:rsidRPr="0025499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</w:t>
            </w:r>
            <w:r w:rsidR="00111D04" w:rsidRPr="0025499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日</w:t>
            </w:r>
            <w:r w:rsidR="00111D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便恢复</w:t>
            </w:r>
            <w:r w:rsidR="00111D04" w:rsidRPr="0025499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生产，但目前仍是供不应求。</w:t>
            </w:r>
            <w:r w:rsidR="0038040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</w:p>
          <w:p w:rsidR="000E05CD" w:rsidRDefault="00DD04D6" w:rsidP="00E80938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长期来看，疫情结束后，驰援湖北</w:t>
            </w:r>
            <w:r w:rsidR="00E9049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后回到原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医院的医生专家</w:t>
            </w:r>
            <w:r w:rsidR="008D115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在疫情时期对人工肝技术有了更深的</w:t>
            </w:r>
            <w:r w:rsidR="00E9049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认可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r w:rsidR="008D115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未来公司开拓这些医院的业务时将事半功倍，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将对公司肝科业务的拓展产生持久</w:t>
            </w:r>
            <w:r w:rsidR="00E9049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正面影响。</w:t>
            </w:r>
            <w:r w:rsidR="00111D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而且</w:t>
            </w:r>
            <w:r w:rsidR="00E8093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预计</w:t>
            </w:r>
            <w:r w:rsidR="009738A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疫情后</w:t>
            </w:r>
            <w:r w:rsidR="00E8093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各地会</w:t>
            </w:r>
            <w:r w:rsidR="00111D04" w:rsidRPr="00111D0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加强公共卫生的建设</w:t>
            </w:r>
            <w:r w:rsidR="00E8093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，包括传染病医院</w:t>
            </w:r>
            <w:r w:rsidR="006553A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建设</w:t>
            </w:r>
            <w:r w:rsidR="00E8093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、重症</w:t>
            </w:r>
            <w:r w:rsidR="008F03A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救治的投入</w:t>
            </w:r>
            <w:r w:rsidR="00E8093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等，资金</w:t>
            </w:r>
            <w:r w:rsidR="007E287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都</w:t>
            </w:r>
            <w:r w:rsidR="00E8093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会有一定的倾斜</w:t>
            </w:r>
            <w:r w:rsidR="00F97D8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r w:rsidR="00E8093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这都更有利于公司人工肝的推广。</w:t>
            </w:r>
          </w:p>
          <w:p w:rsidR="00AA6A53" w:rsidRDefault="00AA6A53" w:rsidP="00E80938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</w:p>
          <w:p w:rsidR="00EA5901" w:rsidRDefault="00EA5901" w:rsidP="00EA5901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问题三：目前公司复工后主要困难有哪些？公司在人员、物流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原材料方面是否收到影响？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A5901" w:rsidRDefault="00EA5901" w:rsidP="00EA5901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答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企业复工有诸多困难，最重要的是人。目前公司员工</w:t>
            </w:r>
            <w:r w:rsidRPr="00334C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复工率有</w:t>
            </w:r>
            <w:r w:rsidRPr="00334C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82%</w:t>
            </w:r>
            <w:r w:rsidRPr="00334C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，在珠海市是非常优秀的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。还有一小部分员工由于交通管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lastRenderedPageBreak/>
              <w:t>制、自我隔离等原因不能返岗，对公司的影响相对比较小。物流</w:t>
            </w:r>
            <w:r w:rsidRPr="00334C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运输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方面，湖北以外地区基本正常，</w:t>
            </w:r>
            <w:r w:rsidRPr="00334C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湖北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地区有一定影响，公司也</w:t>
            </w:r>
            <w:r w:rsidRPr="00334C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可以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通过</w:t>
            </w:r>
            <w:r w:rsidRPr="00334C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运输到湖北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，再由</w:t>
            </w:r>
            <w:r w:rsidRPr="00334C5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省内的公司转运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等方式，整体影响不大。生产活动目前正常开展，因员工未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100%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到岗因此生产尚未“开足火力”，但目前还能满足目前市场需要。</w:t>
            </w:r>
            <w:proofErr w:type="gramStart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健帆在</w:t>
            </w:r>
            <w:proofErr w:type="gramEnd"/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原材料的</w:t>
            </w:r>
            <w:r w:rsidRPr="001E562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制备全过程拥有完全的自主知识产权，所以在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本次疫情中更凸显了</w:t>
            </w:r>
            <w:r w:rsidRPr="001E562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优势，不会因某个链条的断裂而影响产品的销售和生产。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相信公司经过这次疫情</w:t>
            </w:r>
            <w:r w:rsidRPr="001E562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会更加强大。</w:t>
            </w:r>
          </w:p>
          <w:p w:rsidR="00FA2AF1" w:rsidRDefault="00FA2AF1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</w:p>
          <w:p w:rsidR="00FA2AF1" w:rsidRDefault="00C86686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问题四</w:t>
            </w:r>
            <w:r w:rsidR="0083241B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：公司在湖北省的收入比重有多少？疫情</w:t>
            </w:r>
            <w:r w:rsidR="0060047F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是否会影响患者灌流次数？</w:t>
            </w:r>
            <w:r w:rsidR="0083241B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对公司</w:t>
            </w:r>
            <w:r w:rsidR="0060047F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的全年业绩影响</w:t>
            </w:r>
            <w:r w:rsidR="0083241B"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如何？</w:t>
            </w:r>
          </w:p>
          <w:p w:rsidR="00777346" w:rsidRDefault="0083241B" w:rsidP="00891736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答复：</w:t>
            </w:r>
            <w:r w:rsidRPr="00AB06B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湖北的营业收入占公司整体收入约</w:t>
            </w:r>
            <w:r w:rsidRPr="00AB06B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6%</w:t>
            </w:r>
            <w:r w:rsidR="005824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89173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本次疫情</w:t>
            </w:r>
            <w:r w:rsidR="008C357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对公司的影响要分两个方面来看。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在肝科领域，</w:t>
            </w:r>
            <w:r w:rsidR="005824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疫情期间公司</w:t>
            </w:r>
            <w:r w:rsidR="005824A9" w:rsidRPr="005824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人工</w:t>
            </w:r>
            <w:proofErr w:type="gramStart"/>
            <w:r w:rsidR="005824A9" w:rsidRPr="005824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肝</w:t>
            </w:r>
            <w:r w:rsidR="005824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设备</w:t>
            </w:r>
            <w:proofErr w:type="gramEnd"/>
            <w:r w:rsidR="005824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DX-10</w:t>
            </w:r>
            <w:r w:rsidR="005824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血液净化机</w:t>
            </w:r>
            <w:r w:rsidR="006A0FD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供不应求</w:t>
            </w:r>
            <w:r w:rsidR="00165A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3D773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公司的</w:t>
            </w:r>
            <w:r w:rsidR="007F6A45" w:rsidRPr="007F6A45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BS330</w:t>
            </w:r>
            <w:r w:rsidR="00F959C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</w:t>
            </w:r>
            <w:r w:rsidR="007F6A45" w:rsidRPr="007F6A45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HA330-</w:t>
            </w:r>
            <w:r w:rsidR="007F6A4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II</w:t>
            </w:r>
            <w:r w:rsidR="00165AD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是人工肝技术中在血液净化机上配套使用的耗材</w:t>
            </w:r>
            <w:r w:rsidR="0056512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会增加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。肾科领域</w:t>
            </w:r>
            <w:r w:rsidR="003A274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受影响</w:t>
            </w:r>
            <w:r w:rsidR="0056512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有限</w:t>
            </w:r>
            <w:r w:rsidR="0048074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，因为</w:t>
            </w:r>
            <w:r w:rsidR="007F6A4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对尿毒症患者</w:t>
            </w:r>
            <w:r w:rsidR="006A0FD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每周</w:t>
            </w:r>
            <w:r w:rsidR="00A90C8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定期做透析是刚需。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湖北省以外的地区透析基本</w:t>
            </w:r>
            <w:r w:rsidR="00176E27" w:rsidRP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都在正常开展治疗。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湖北</w:t>
            </w:r>
            <w:r w:rsidR="00D3267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当地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的透析确实受到一定影响，尤其是</w:t>
            </w:r>
            <w:r w:rsidR="00DA77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定点医院的透析时长和</w:t>
            </w:r>
            <w:r w:rsidR="00DA77A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透析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频次等</w:t>
            </w:r>
            <w:r w:rsidR="00CB614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但</w:t>
            </w:r>
            <w:r w:rsidR="00CB614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其实</w:t>
            </w:r>
            <w:r w:rsidR="0056512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对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灌流</w:t>
            </w:r>
            <w:r w:rsidR="0056512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影响不大</w:t>
            </w:r>
            <w:r w:rsidR="00176E2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CB614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因为灌流是在透析机上加一个灌流器，并不会增加整体治疗时长，因此透析时长的调整并不会影响患者使用公司的灌流产品。</w:t>
            </w:r>
            <w:r w:rsidR="00A90C8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甚至</w:t>
            </w:r>
            <w:r w:rsidR="002C2C8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部分患者会</w:t>
            </w:r>
            <w:r w:rsidR="00A90C8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因透析</w:t>
            </w:r>
            <w:r w:rsidR="002C2C8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次数不够、影响生活质量而</w:t>
            </w:r>
            <w:r w:rsidR="00A90C8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主动增加灌流次数。</w:t>
            </w:r>
          </w:p>
          <w:p w:rsidR="0056512F" w:rsidRDefault="002D0F4F" w:rsidP="00777346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整体而言</w:t>
            </w:r>
            <w:r w:rsidRPr="00777346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疫情对公司业绩的影响是正面的。</w:t>
            </w:r>
            <w:r w:rsidR="0056512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公司的肝病业务是非常乐观的，而肾病领域，由于血液透析是尿毒症患者的刚需，基本上不受本次疫情的影响，公司对实现全年的经营目标是充满信心的。</w:t>
            </w:r>
          </w:p>
          <w:p w:rsidR="006B1F37" w:rsidRDefault="006B1F37" w:rsidP="00532AEF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</w:p>
          <w:p w:rsidR="006B1F37" w:rsidRDefault="006B1F37" w:rsidP="00532AEF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问题</w:t>
            </w:r>
            <w:r w:rsidR="00C86686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五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：新产品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KHA</w:t>
            </w:r>
            <w:r w:rsidR="00176215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与现有产品相比有何特点？其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定价和营销策略</w:t>
            </w:r>
            <w:r w:rsidR="00176215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是怎样的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6B1F37" w:rsidRPr="00176215" w:rsidRDefault="00D404DC" w:rsidP="00532AEF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答：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KHA</w:t>
            </w:r>
            <w:r w:rsid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系列灌流器从柱体、吸附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树脂</w:t>
            </w:r>
            <w:r w:rsid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等各个方面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都加强了对尿毒症</w:t>
            </w:r>
            <w:r w:rsid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的针对性</w:t>
            </w:r>
            <w:r w:rsidR="004817D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，且更便于医护人员的实际操作</w:t>
            </w:r>
            <w:r w:rsid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CB654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原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HA</w:t>
            </w:r>
            <w:r w:rsid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系列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灌流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lastRenderedPageBreak/>
              <w:t>器</w:t>
            </w:r>
            <w:r w:rsid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适用于多种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病症，对尿毒症的针对性没有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KHA</w:t>
            </w:r>
            <w:r w:rsid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系列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强。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KHA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对尿毒症</w:t>
            </w:r>
            <w:r w:rsidR="006B22F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患者血液中的毒素和代谢废物等物质</w:t>
            </w:r>
            <w:r w:rsidR="004817D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的吸附效率更高，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</w:t>
            </w:r>
            <w:r w:rsidR="0098317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公司“专病专灌”策略下的定制产品。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公司计划</w:t>
            </w:r>
            <w:r w:rsidR="0098317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今年将产品推向市场，定价会比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HA130</w:t>
            </w:r>
            <w:r w:rsidR="00983178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高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一些。</w:t>
            </w:r>
            <w:r w:rsidR="003700E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本次</w:t>
            </w:r>
            <w:r w:rsidR="00007DC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新增</w:t>
            </w:r>
            <w:r w:rsidR="00007DC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KHA</w:t>
            </w:r>
            <w:r w:rsidR="00007DC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系列产品，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能更好地满足</w:t>
            </w:r>
            <w:r w:rsidR="00007DC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尿毒症患者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的需要，</w:t>
            </w:r>
            <w:r w:rsidR="00007DC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也更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加宽</w:t>
            </w:r>
            <w:r w:rsidR="00007DC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了公司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护城河，增强</w:t>
            </w:r>
            <w:r w:rsidR="00007DC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对政策和竞争</w:t>
            </w:r>
            <w:r w:rsidR="00E561A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形式变化</w:t>
            </w:r>
            <w:r w:rsidR="00176215" w:rsidRPr="0017621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的适应弹性。</w:t>
            </w:r>
          </w:p>
          <w:p w:rsidR="00D404DC" w:rsidRDefault="00D404DC" w:rsidP="00532AEF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</w:p>
          <w:p w:rsidR="006B1F37" w:rsidRDefault="006B1F37" w:rsidP="00532AEF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问题</w:t>
            </w:r>
            <w:r w:rsidR="00C86686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六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：海外推广计划是怎样的？</w:t>
            </w:r>
          </w:p>
          <w:p w:rsidR="006B1F37" w:rsidRDefault="00F86A9C" w:rsidP="00532AEF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答：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海外销售主要</w:t>
            </w:r>
            <w:r w:rsidR="00D838D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适用于</w:t>
            </w:r>
            <w:r w:rsidR="002E2EB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重症、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危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重</w:t>
            </w:r>
            <w:r w:rsidR="00A306C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疾病</w:t>
            </w:r>
            <w:r w:rsidR="00D838D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等产品</w:t>
            </w:r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2019</w:t>
            </w:r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年</w:t>
            </w:r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10</w:t>
            </w:r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2</w:t>
            </w:r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日</w:t>
            </w:r>
            <w:r w:rsidR="0015639D"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</w:t>
            </w:r>
            <w:r w:rsidR="00B519A6">
              <w:rPr>
                <w:rFonts w:ascii="Times New Roman" w:eastAsia="宋体" w:hAnsi="Times New Roman"/>
                <w:iCs/>
                <w:sz w:val="24"/>
                <w:szCs w:val="24"/>
              </w:rPr>
              <w:t>由德国亚琛大学医院</w:t>
            </w:r>
            <w:r w:rsidR="00B519A6">
              <w:rPr>
                <w:rFonts w:ascii="Times New Roman" w:eastAsia="宋体" w:hAnsi="Times New Roman"/>
                <w:iCs/>
                <w:sz w:val="24"/>
                <w:szCs w:val="24"/>
              </w:rPr>
              <w:t>ICU</w:t>
            </w:r>
            <w:r w:rsidR="00B519A6">
              <w:rPr>
                <w:rFonts w:ascii="Times New Roman" w:eastAsia="宋体" w:hAnsi="Times New Roman"/>
                <w:iCs/>
                <w:sz w:val="24"/>
                <w:szCs w:val="24"/>
              </w:rPr>
              <w:t>负责人</w:t>
            </w:r>
            <w:r w:rsidR="00B519A6">
              <w:rPr>
                <w:rFonts w:ascii="Times New Roman" w:eastAsia="宋体" w:hAnsi="Times New Roman"/>
                <w:iCs/>
                <w:sz w:val="24"/>
                <w:szCs w:val="24"/>
              </w:rPr>
              <w:t xml:space="preserve">Alexander </w:t>
            </w:r>
            <w:proofErr w:type="spellStart"/>
            <w:r w:rsidR="00B519A6">
              <w:rPr>
                <w:rFonts w:ascii="Times New Roman" w:eastAsia="宋体" w:hAnsi="Times New Roman"/>
                <w:iCs/>
                <w:sz w:val="24"/>
                <w:szCs w:val="24"/>
              </w:rPr>
              <w:t>Kersten</w:t>
            </w:r>
            <w:proofErr w:type="spellEnd"/>
            <w:r w:rsidR="00B519A6">
              <w:rPr>
                <w:rFonts w:ascii="Times New Roman" w:eastAsia="宋体" w:hAnsi="Times New Roman"/>
                <w:iCs/>
                <w:sz w:val="24"/>
                <w:szCs w:val="24"/>
              </w:rPr>
              <w:t>教授牵头发起</w:t>
            </w:r>
            <w:proofErr w:type="gramStart"/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健帆全球</w:t>
            </w:r>
            <w:proofErr w:type="gramEnd"/>
            <w:r w:rsidRPr="004B6D0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脓毒症多中心临床研究，英国伦敦大学医院，奥地利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维也纳医学院，意大利帕维亚大学医院等来自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8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国的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12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家欧洲及中国的两家研究</w:t>
            </w:r>
            <w:r w:rsidR="007D193A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医院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代表参会，</w:t>
            </w:r>
            <w:r w:rsidR="00E5516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预计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花三年时间进行脓毒症研究。</w:t>
            </w:r>
            <w:r w:rsidR="00B022F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目前公司产品在</w:t>
            </w:r>
            <w:r w:rsidR="00E16213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海外</w:t>
            </w:r>
            <w:r w:rsidR="00B022F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进入了</w:t>
            </w:r>
            <w:r w:rsidR="00B022F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6</w:t>
            </w:r>
            <w:r w:rsidR="00B022F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个国家</w:t>
            </w:r>
            <w:r w:rsidR="00610A3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的</w:t>
            </w:r>
            <w:proofErr w:type="gramStart"/>
            <w:r w:rsidR="00B022F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医</w:t>
            </w:r>
            <w:proofErr w:type="gramEnd"/>
            <w:r w:rsidR="00B022F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保，</w:t>
            </w:r>
            <w:r w:rsidR="00434BA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尤其是</w:t>
            </w:r>
            <w:r w:rsidR="002E2EB5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</w:t>
            </w:r>
            <w:r w:rsidR="00B022F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土耳其定向纳入脓毒</w:t>
            </w:r>
            <w:proofErr w:type="gramStart"/>
            <w:r w:rsidR="00B022F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症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方向的医</w:t>
            </w:r>
            <w:proofErr w:type="gramEnd"/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保</w:t>
            </w:r>
            <w:r w:rsidR="00A306C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。未来公司海外推广的重点将依然是</w:t>
            </w:r>
            <w:r w:rsidR="00CC7F3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重症、危重疾病和脓毒症</w:t>
            </w:r>
            <w:r w:rsidRPr="00F86A9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，肾科也会继续推广。</w:t>
            </w:r>
          </w:p>
          <w:p w:rsidR="00F86A9C" w:rsidRPr="00F86A9C" w:rsidRDefault="00F86A9C" w:rsidP="00F86A9C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</w:p>
          <w:p w:rsidR="006B1F37" w:rsidRPr="002106FD" w:rsidRDefault="006B1F37" w:rsidP="00532AEF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问题</w:t>
            </w:r>
            <w:r w:rsidR="00C86686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七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：</w:t>
            </w:r>
            <w:r w:rsidR="0047174A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外延方面，</w:t>
            </w:r>
            <w:r w:rsidR="002106F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公司在</w:t>
            </w:r>
            <w:r w:rsidR="002106FD" w:rsidRPr="002106F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血液净化领域还看好哪些</w:t>
            </w:r>
            <w:r w:rsidR="002106F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产品或方向</w:t>
            </w:r>
            <w:r w:rsidR="002106FD" w:rsidRPr="002106FD"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85210E" w:rsidRDefault="00D852A1" w:rsidP="001D5D34">
            <w:pPr>
              <w:spacing w:after="0" w:line="360" w:lineRule="auto"/>
              <w:ind w:firstLineChars="200" w:firstLine="482"/>
              <w:jc w:val="both"/>
              <w:rPr>
                <w:rFonts w:ascii="宋体" w:eastAsia="宋体" w:hAnsi="宋体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答：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透析只是血液净化中的一个重要部分，重症领域的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血液净化我们同样看好。包括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在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这次疫情中大显身手的人工肝、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CRRT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及其他产品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等，公司都有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兴趣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进一步了解并探索未来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发展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机会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。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除产品外，公司也会关注血液净化中心等服务，但由于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目前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相关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政策还不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够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明朗，所以我们会持续关注</w:t>
            </w:r>
            <w:r w:rsidR="0085210E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、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谨慎介入。</w:t>
            </w:r>
            <w:r w:rsidR="003167E2" w:rsidRP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此外，</w:t>
            </w:r>
            <w:r w:rsidR="003167E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公司也会完善慢病管理、金融支付等环节。</w:t>
            </w:r>
            <w:r w:rsidR="003167E2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目前公司的慢病管理服务主要面向肾病领域患者，未来其成功模式可复制到肝病等其他领域。</w:t>
            </w:r>
          </w:p>
          <w:p w:rsidR="001D5D34" w:rsidRPr="00442611" w:rsidRDefault="003167E2" w:rsidP="0085210E">
            <w:pPr>
              <w:spacing w:after="0" w:line="360" w:lineRule="auto"/>
              <w:ind w:firstLineChars="200" w:firstLine="480"/>
              <w:jc w:val="both"/>
              <w:rPr>
                <w:rFonts w:ascii="宋体" w:eastAsia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未来公司将在肾病领域形成以保险产品为驱动的全产业链，为肾病患者提供保险保障、慢病管理、医疗治疗服务及设备产品等服务和产品。并且该模式在将来也可复制到肝病及其他病种领域</w:t>
            </w:r>
            <w:r w:rsidR="00AA6A53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，未来</w:t>
            </w:r>
            <w:r w:rsidR="00C86686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大有可为。</w:t>
            </w:r>
          </w:p>
          <w:p w:rsidR="00FA2AF1" w:rsidRDefault="00FA2AF1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</w:p>
          <w:p w:rsidR="00085DFE" w:rsidRDefault="00085DFE" w:rsidP="0083241B">
            <w:pPr>
              <w:spacing w:after="0" w:line="360" w:lineRule="auto"/>
              <w:ind w:firstLineChars="200" w:firstLine="482"/>
              <w:jc w:val="both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</w:p>
          <w:p w:rsidR="00FA2AF1" w:rsidRDefault="0083241B" w:rsidP="0083241B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接待过程中，公司相关领导与投资者进行了充分的交流与沟通，严格按照《信息披露管理制度》等规定，保证信息披露的真实、准确、完整、及时、公平，未出现未公开重大信息泄露等情况。</w:t>
            </w:r>
          </w:p>
        </w:tc>
      </w:tr>
      <w:tr w:rsidR="00FA2AF1" w:rsidTr="00207130">
        <w:trPr>
          <w:trHeight w:val="7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无</w:t>
            </w:r>
          </w:p>
        </w:tc>
      </w:tr>
      <w:tr w:rsidR="00FA2AF1" w:rsidTr="00207130">
        <w:trPr>
          <w:trHeight w:val="7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83241B">
            <w:pPr>
              <w:spacing w:after="0" w:line="360" w:lineRule="auto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F1" w:rsidRDefault="0083241B" w:rsidP="00F97D8D">
            <w:pPr>
              <w:spacing w:after="0" w:line="360" w:lineRule="auto"/>
              <w:jc w:val="both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月</w:t>
            </w:r>
            <w:r w:rsidR="008523A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</w:t>
            </w:r>
            <w:r w:rsidR="00F97D8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日</w:t>
            </w:r>
          </w:p>
        </w:tc>
      </w:tr>
    </w:tbl>
    <w:p w:rsidR="00FA2AF1" w:rsidRDefault="00FA2AF1" w:rsidP="0083241B">
      <w:pPr>
        <w:spacing w:after="0" w:line="360" w:lineRule="auto"/>
        <w:rPr>
          <w:rFonts w:ascii="Times New Roman" w:hAnsi="Times New Roman"/>
        </w:rPr>
      </w:pPr>
    </w:p>
    <w:p w:rsidR="00FA2AF1" w:rsidRDefault="00FA2AF1" w:rsidP="0083241B">
      <w:pPr>
        <w:spacing w:after="0" w:line="360" w:lineRule="auto"/>
        <w:rPr>
          <w:rFonts w:ascii="Times New Roman" w:hAnsi="Times New Roman"/>
        </w:rPr>
      </w:pPr>
    </w:p>
    <w:sectPr w:rsidR="00FA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ED" w:rsidRDefault="00D064ED" w:rsidP="00FE3CD0">
      <w:pPr>
        <w:spacing w:after="0"/>
      </w:pPr>
      <w:r>
        <w:separator/>
      </w:r>
    </w:p>
  </w:endnote>
  <w:endnote w:type="continuationSeparator" w:id="0">
    <w:p w:rsidR="00D064ED" w:rsidRDefault="00D064ED" w:rsidP="00FE3C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ED" w:rsidRDefault="00D064ED" w:rsidP="00FE3CD0">
      <w:pPr>
        <w:spacing w:after="0"/>
      </w:pPr>
      <w:r>
        <w:separator/>
      </w:r>
    </w:p>
  </w:footnote>
  <w:footnote w:type="continuationSeparator" w:id="0">
    <w:p w:rsidR="00D064ED" w:rsidRDefault="00D064ED" w:rsidP="00FE3C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F1"/>
    <w:rsid w:val="00007DC2"/>
    <w:rsid w:val="000151B1"/>
    <w:rsid w:val="000200C6"/>
    <w:rsid w:val="00023351"/>
    <w:rsid w:val="0005074A"/>
    <w:rsid w:val="000533DA"/>
    <w:rsid w:val="00054574"/>
    <w:rsid w:val="00085DFE"/>
    <w:rsid w:val="000A0ACB"/>
    <w:rsid w:val="000A6804"/>
    <w:rsid w:val="000C048D"/>
    <w:rsid w:val="000C6020"/>
    <w:rsid w:val="000D3D1D"/>
    <w:rsid w:val="000E05CD"/>
    <w:rsid w:val="00111999"/>
    <w:rsid w:val="00111D04"/>
    <w:rsid w:val="0014275F"/>
    <w:rsid w:val="00146A53"/>
    <w:rsid w:val="00154716"/>
    <w:rsid w:val="0015639D"/>
    <w:rsid w:val="00160E8C"/>
    <w:rsid w:val="001636C7"/>
    <w:rsid w:val="00165AD4"/>
    <w:rsid w:val="00175FB2"/>
    <w:rsid w:val="00176215"/>
    <w:rsid w:val="00176E27"/>
    <w:rsid w:val="001838E4"/>
    <w:rsid w:val="00196A6C"/>
    <w:rsid w:val="001A1304"/>
    <w:rsid w:val="001A3ABF"/>
    <w:rsid w:val="001C4706"/>
    <w:rsid w:val="001D5D34"/>
    <w:rsid w:val="001F36BC"/>
    <w:rsid w:val="001F5877"/>
    <w:rsid w:val="00200C08"/>
    <w:rsid w:val="00207130"/>
    <w:rsid w:val="002106FD"/>
    <w:rsid w:val="00221FE6"/>
    <w:rsid w:val="00227AA3"/>
    <w:rsid w:val="002346EA"/>
    <w:rsid w:val="0024456D"/>
    <w:rsid w:val="00252DC7"/>
    <w:rsid w:val="00254994"/>
    <w:rsid w:val="00293C0C"/>
    <w:rsid w:val="002A29AC"/>
    <w:rsid w:val="002B2269"/>
    <w:rsid w:val="002C2383"/>
    <w:rsid w:val="002C2C86"/>
    <w:rsid w:val="002D0237"/>
    <w:rsid w:val="002D0F4F"/>
    <w:rsid w:val="002E2EB5"/>
    <w:rsid w:val="00304021"/>
    <w:rsid w:val="003100BA"/>
    <w:rsid w:val="003108DE"/>
    <w:rsid w:val="00312A20"/>
    <w:rsid w:val="003167E2"/>
    <w:rsid w:val="003241A9"/>
    <w:rsid w:val="00334C5F"/>
    <w:rsid w:val="003522B5"/>
    <w:rsid w:val="00362DEB"/>
    <w:rsid w:val="0036653F"/>
    <w:rsid w:val="003700EC"/>
    <w:rsid w:val="00380403"/>
    <w:rsid w:val="0039187F"/>
    <w:rsid w:val="003A274F"/>
    <w:rsid w:val="003B5080"/>
    <w:rsid w:val="003C0A8D"/>
    <w:rsid w:val="003C2C6F"/>
    <w:rsid w:val="003D7732"/>
    <w:rsid w:val="003E70BA"/>
    <w:rsid w:val="00401F00"/>
    <w:rsid w:val="0041317A"/>
    <w:rsid w:val="00415BCC"/>
    <w:rsid w:val="00416150"/>
    <w:rsid w:val="004301E2"/>
    <w:rsid w:val="004307F1"/>
    <w:rsid w:val="00431E6A"/>
    <w:rsid w:val="00432E10"/>
    <w:rsid w:val="00434BA6"/>
    <w:rsid w:val="0046570E"/>
    <w:rsid w:val="0047174A"/>
    <w:rsid w:val="00472830"/>
    <w:rsid w:val="00477CDC"/>
    <w:rsid w:val="0048074B"/>
    <w:rsid w:val="00480975"/>
    <w:rsid w:val="004817DD"/>
    <w:rsid w:val="0048345A"/>
    <w:rsid w:val="00485E19"/>
    <w:rsid w:val="004B557A"/>
    <w:rsid w:val="004B6D02"/>
    <w:rsid w:val="004D0778"/>
    <w:rsid w:val="004E3926"/>
    <w:rsid w:val="004E68F7"/>
    <w:rsid w:val="00532AEF"/>
    <w:rsid w:val="00552247"/>
    <w:rsid w:val="0056512F"/>
    <w:rsid w:val="00576C2D"/>
    <w:rsid w:val="005824A9"/>
    <w:rsid w:val="00586C50"/>
    <w:rsid w:val="005B3422"/>
    <w:rsid w:val="005C1E51"/>
    <w:rsid w:val="005D6B64"/>
    <w:rsid w:val="0060047F"/>
    <w:rsid w:val="00610A37"/>
    <w:rsid w:val="006159DF"/>
    <w:rsid w:val="00616E45"/>
    <w:rsid w:val="006553A6"/>
    <w:rsid w:val="0067117C"/>
    <w:rsid w:val="00686198"/>
    <w:rsid w:val="006A0FDD"/>
    <w:rsid w:val="006A466B"/>
    <w:rsid w:val="006A7C68"/>
    <w:rsid w:val="006B1F37"/>
    <w:rsid w:val="006B22FC"/>
    <w:rsid w:val="006B2BBD"/>
    <w:rsid w:val="006B586F"/>
    <w:rsid w:val="006D2EEB"/>
    <w:rsid w:val="006F4350"/>
    <w:rsid w:val="006F4F7F"/>
    <w:rsid w:val="006F662F"/>
    <w:rsid w:val="00777346"/>
    <w:rsid w:val="00790E86"/>
    <w:rsid w:val="007A376F"/>
    <w:rsid w:val="007D1508"/>
    <w:rsid w:val="007D193A"/>
    <w:rsid w:val="007D2DB2"/>
    <w:rsid w:val="007E2872"/>
    <w:rsid w:val="007E3628"/>
    <w:rsid w:val="007F6A45"/>
    <w:rsid w:val="008034CC"/>
    <w:rsid w:val="0080773A"/>
    <w:rsid w:val="00807888"/>
    <w:rsid w:val="00813EB1"/>
    <w:rsid w:val="008231A6"/>
    <w:rsid w:val="0083241B"/>
    <w:rsid w:val="00832E0C"/>
    <w:rsid w:val="0085210E"/>
    <w:rsid w:val="008523A4"/>
    <w:rsid w:val="00855DF9"/>
    <w:rsid w:val="00871FBD"/>
    <w:rsid w:val="00872984"/>
    <w:rsid w:val="00891736"/>
    <w:rsid w:val="008A28B0"/>
    <w:rsid w:val="008C3574"/>
    <w:rsid w:val="008D1154"/>
    <w:rsid w:val="008F03AB"/>
    <w:rsid w:val="00902810"/>
    <w:rsid w:val="00906AE5"/>
    <w:rsid w:val="009164FC"/>
    <w:rsid w:val="00916D30"/>
    <w:rsid w:val="00926973"/>
    <w:rsid w:val="00932E51"/>
    <w:rsid w:val="00941E45"/>
    <w:rsid w:val="009500FE"/>
    <w:rsid w:val="00967504"/>
    <w:rsid w:val="009738A6"/>
    <w:rsid w:val="0098291E"/>
    <w:rsid w:val="00983178"/>
    <w:rsid w:val="009A1E0C"/>
    <w:rsid w:val="009A7EA8"/>
    <w:rsid w:val="009B13A5"/>
    <w:rsid w:val="009B22A7"/>
    <w:rsid w:val="009B25D4"/>
    <w:rsid w:val="009F6519"/>
    <w:rsid w:val="00A1023A"/>
    <w:rsid w:val="00A306C0"/>
    <w:rsid w:val="00A31F6F"/>
    <w:rsid w:val="00A46DE2"/>
    <w:rsid w:val="00A54170"/>
    <w:rsid w:val="00A54593"/>
    <w:rsid w:val="00A90C89"/>
    <w:rsid w:val="00AA012E"/>
    <w:rsid w:val="00AA373A"/>
    <w:rsid w:val="00AA6A53"/>
    <w:rsid w:val="00AB06B9"/>
    <w:rsid w:val="00AB1500"/>
    <w:rsid w:val="00AD73D4"/>
    <w:rsid w:val="00AF1B72"/>
    <w:rsid w:val="00B022FF"/>
    <w:rsid w:val="00B11BB9"/>
    <w:rsid w:val="00B1784C"/>
    <w:rsid w:val="00B519A6"/>
    <w:rsid w:val="00B57F0D"/>
    <w:rsid w:val="00B619F9"/>
    <w:rsid w:val="00B83864"/>
    <w:rsid w:val="00BA4DAF"/>
    <w:rsid w:val="00BA663F"/>
    <w:rsid w:val="00C1749F"/>
    <w:rsid w:val="00C41652"/>
    <w:rsid w:val="00C73207"/>
    <w:rsid w:val="00C771A6"/>
    <w:rsid w:val="00C86686"/>
    <w:rsid w:val="00C928FA"/>
    <w:rsid w:val="00CA542B"/>
    <w:rsid w:val="00CB6146"/>
    <w:rsid w:val="00CB6545"/>
    <w:rsid w:val="00CC08DB"/>
    <w:rsid w:val="00CC1ACF"/>
    <w:rsid w:val="00CC7F36"/>
    <w:rsid w:val="00D033B7"/>
    <w:rsid w:val="00D05C13"/>
    <w:rsid w:val="00D064ED"/>
    <w:rsid w:val="00D20DA8"/>
    <w:rsid w:val="00D21DD0"/>
    <w:rsid w:val="00D25261"/>
    <w:rsid w:val="00D313CF"/>
    <w:rsid w:val="00D32674"/>
    <w:rsid w:val="00D404DC"/>
    <w:rsid w:val="00D560E4"/>
    <w:rsid w:val="00D838D6"/>
    <w:rsid w:val="00D852A1"/>
    <w:rsid w:val="00D948C9"/>
    <w:rsid w:val="00DA77A9"/>
    <w:rsid w:val="00DB7552"/>
    <w:rsid w:val="00DD04D6"/>
    <w:rsid w:val="00DD16DE"/>
    <w:rsid w:val="00DE4EAB"/>
    <w:rsid w:val="00DE7803"/>
    <w:rsid w:val="00E046D4"/>
    <w:rsid w:val="00E04881"/>
    <w:rsid w:val="00E1162B"/>
    <w:rsid w:val="00E16213"/>
    <w:rsid w:val="00E22C93"/>
    <w:rsid w:val="00E36819"/>
    <w:rsid w:val="00E5516B"/>
    <w:rsid w:val="00E561A4"/>
    <w:rsid w:val="00E572F1"/>
    <w:rsid w:val="00E80938"/>
    <w:rsid w:val="00E86B30"/>
    <w:rsid w:val="00E90499"/>
    <w:rsid w:val="00E91A6D"/>
    <w:rsid w:val="00EA5901"/>
    <w:rsid w:val="00EB745F"/>
    <w:rsid w:val="00EC4E0B"/>
    <w:rsid w:val="00EE162C"/>
    <w:rsid w:val="00EF4914"/>
    <w:rsid w:val="00F23BA8"/>
    <w:rsid w:val="00F40E1F"/>
    <w:rsid w:val="00F551DF"/>
    <w:rsid w:val="00F554A5"/>
    <w:rsid w:val="00F65743"/>
    <w:rsid w:val="00F715B6"/>
    <w:rsid w:val="00F8314A"/>
    <w:rsid w:val="00F84B94"/>
    <w:rsid w:val="00F86A9C"/>
    <w:rsid w:val="00F90F66"/>
    <w:rsid w:val="00F94CD0"/>
    <w:rsid w:val="00F95817"/>
    <w:rsid w:val="00F959C7"/>
    <w:rsid w:val="00F97D8D"/>
    <w:rsid w:val="00FA2AF1"/>
    <w:rsid w:val="00FB2381"/>
    <w:rsid w:val="00FD0B25"/>
    <w:rsid w:val="00FE3CD0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D84F-BEBE-4BAD-ABCE-E961395C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803</Words>
  <Characters>4580</Characters>
  <Application>Microsoft Office Word</Application>
  <DocSecurity>0</DocSecurity>
  <Lines>38</Lines>
  <Paragraphs>10</Paragraphs>
  <ScaleCrop>false</ScaleCrop>
  <Company>Microsoft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钟小燕</dc:creator>
  <cp:lastModifiedBy>张明渊</cp:lastModifiedBy>
  <cp:revision>8</cp:revision>
  <cp:lastPrinted>2020-02-21T06:20:00Z</cp:lastPrinted>
  <dcterms:created xsi:type="dcterms:W3CDTF">2020-02-23T02:21:00Z</dcterms:created>
  <dcterms:modified xsi:type="dcterms:W3CDTF">2020-02-23T13:03:00Z</dcterms:modified>
</cp:coreProperties>
</file>