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00" w:lineRule="exact"/>
        <w:rPr>
          <w:bCs/>
          <w:iCs/>
          <w:sz w:val="24"/>
        </w:rPr>
      </w:pPr>
      <w:r>
        <w:rPr>
          <w:bCs/>
          <w:iCs/>
          <w:sz w:val="24"/>
        </w:rPr>
        <w:t>证券代码：</w:t>
      </w:r>
      <w:r>
        <w:rPr>
          <w:rFonts w:hint="eastAsia"/>
          <w:bCs/>
          <w:iCs/>
          <w:sz w:val="24"/>
        </w:rPr>
        <w:t>300031</w:t>
      </w:r>
      <w:r>
        <w:rPr>
          <w:bCs/>
          <w:iCs/>
          <w:sz w:val="24"/>
        </w:rPr>
        <w:t xml:space="preserve">                                    证券简称：</w:t>
      </w:r>
      <w:r>
        <w:rPr>
          <w:rFonts w:hint="eastAsia"/>
          <w:bCs/>
          <w:iCs/>
          <w:sz w:val="24"/>
        </w:rPr>
        <w:t>宝通科技</w:t>
      </w:r>
    </w:p>
    <w:p>
      <w:pPr>
        <w:spacing w:beforeLines="50" w:afterLines="50" w:line="360" w:lineRule="auto"/>
        <w:jc w:val="center"/>
        <w:outlineLvl w:val="0"/>
        <w:rPr>
          <w:b/>
          <w:bCs/>
          <w:iCs/>
          <w:sz w:val="32"/>
          <w:szCs w:val="32"/>
        </w:rPr>
      </w:pPr>
      <w:r>
        <w:rPr>
          <w:rFonts w:hint="eastAsia"/>
          <w:b/>
          <w:bCs/>
          <w:iCs/>
          <w:sz w:val="32"/>
          <w:szCs w:val="32"/>
        </w:rPr>
        <w:t>无锡宝通科技</w:t>
      </w:r>
      <w:r>
        <w:rPr>
          <w:b/>
          <w:bCs/>
          <w:iCs/>
          <w:sz w:val="32"/>
          <w:szCs w:val="32"/>
        </w:rPr>
        <w:t>股份有限公司投资者关系活动记录表</w:t>
      </w:r>
    </w:p>
    <w:p>
      <w:pPr>
        <w:spacing w:beforeLines="50" w:afterLines="50" w:line="360" w:lineRule="auto"/>
        <w:rPr>
          <w:rFonts w:hint="default" w:eastAsia="宋体"/>
          <w:bCs/>
          <w:iCs/>
          <w:sz w:val="24"/>
          <w:lang w:val="en-US" w:eastAsia="zh-CN"/>
        </w:rPr>
      </w:pPr>
      <w:r>
        <w:rPr>
          <w:bCs/>
          <w:iCs/>
          <w:sz w:val="24"/>
        </w:rPr>
        <w:t xml:space="preserve">                                                     编号</w:t>
      </w:r>
      <w:r>
        <w:rPr>
          <w:rFonts w:hint="eastAsia"/>
          <w:bCs/>
          <w:iCs/>
          <w:sz w:val="24"/>
        </w:rPr>
        <w:t>：20200</w:t>
      </w:r>
      <w:r>
        <w:rPr>
          <w:rFonts w:hint="eastAsia"/>
          <w:bCs/>
          <w:iCs/>
          <w:sz w:val="24"/>
          <w:lang w:val="en-US" w:eastAsia="zh-CN"/>
        </w:rPr>
        <w:t>226</w:t>
      </w:r>
    </w:p>
    <w:tbl>
      <w:tblPr>
        <w:tblStyle w:val="4"/>
        <w:tblW w:w="10121" w:type="dxa"/>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rPr>
            </w:pPr>
            <w:r>
              <w:rPr>
                <w:bCs/>
                <w:iCs/>
                <w:sz w:val="24"/>
              </w:rPr>
              <w:t>投资者关系活动类别</w:t>
            </w:r>
          </w:p>
          <w:p>
            <w:pPr>
              <w:spacing w:line="360" w:lineRule="auto"/>
              <w:rPr>
                <w:bCs/>
                <w:iCs/>
                <w:sz w:val="24"/>
              </w:rPr>
            </w:pPr>
          </w:p>
        </w:tc>
        <w:tc>
          <w:tcPr>
            <w:tcW w:w="7740" w:type="dxa"/>
            <w:tcBorders>
              <w:top w:val="single" w:color="auto" w:sz="4" w:space="0"/>
              <w:left w:val="single" w:color="auto" w:sz="4" w:space="0"/>
              <w:bottom w:val="single" w:color="auto" w:sz="4" w:space="0"/>
              <w:right w:val="single" w:color="auto" w:sz="4" w:space="0"/>
            </w:tcBorders>
          </w:tcPr>
          <w:p>
            <w:pPr>
              <w:spacing w:line="360" w:lineRule="auto"/>
              <w:rPr>
                <w:bCs/>
                <w:iCs/>
                <w:sz w:val="24"/>
              </w:rPr>
            </w:pPr>
            <w:r>
              <w:rPr>
                <w:bCs/>
                <w:iCs/>
                <w:sz w:val="24"/>
              </w:rPr>
              <w:t>□</w:t>
            </w:r>
            <w:r>
              <w:rPr>
                <w:sz w:val="24"/>
              </w:rPr>
              <w:t xml:space="preserve">特定对象调研      </w:t>
            </w:r>
            <w:r>
              <w:rPr>
                <w:rFonts w:hint="eastAsia"/>
                <w:sz w:val="24"/>
                <w:lang w:val="en-US" w:eastAsia="zh-CN"/>
              </w:rPr>
              <w:t xml:space="preserve"> </w:t>
            </w:r>
            <w:r>
              <w:rPr>
                <w:sz w:val="24"/>
              </w:rPr>
              <w:t xml:space="preserve"> </w:t>
            </w:r>
            <w:r>
              <w:rPr>
                <w:bCs/>
                <w:iCs/>
                <w:sz w:val="24"/>
              </w:rPr>
              <w:t>□</w:t>
            </w:r>
            <w:r>
              <w:rPr>
                <w:sz w:val="24"/>
              </w:rPr>
              <w:t>分析师会议</w:t>
            </w:r>
          </w:p>
          <w:p>
            <w:pPr>
              <w:spacing w:line="360" w:lineRule="auto"/>
              <w:rPr>
                <w:bCs/>
                <w:iCs/>
                <w:sz w:val="24"/>
              </w:rPr>
            </w:pPr>
            <w:r>
              <w:rPr>
                <w:bCs/>
                <w:iCs/>
                <w:sz w:val="24"/>
              </w:rPr>
              <w:t>□</w:t>
            </w:r>
            <w:r>
              <w:rPr>
                <w:sz w:val="24"/>
              </w:rPr>
              <w:t xml:space="preserve">媒体采访            </w:t>
            </w:r>
            <w:r>
              <w:rPr>
                <w:bCs/>
                <w:iCs/>
                <w:sz w:val="24"/>
              </w:rPr>
              <w:t>□</w:t>
            </w:r>
            <w:r>
              <w:rPr>
                <w:sz w:val="24"/>
              </w:rPr>
              <w:t>业绩说明会</w:t>
            </w:r>
          </w:p>
          <w:p>
            <w:pPr>
              <w:spacing w:line="360" w:lineRule="auto"/>
              <w:rPr>
                <w:bCs/>
                <w:iCs/>
                <w:sz w:val="24"/>
              </w:rPr>
            </w:pPr>
            <w:r>
              <w:rPr>
                <w:bCs/>
                <w:iCs/>
                <w:sz w:val="24"/>
              </w:rPr>
              <w:t>□</w:t>
            </w:r>
            <w:r>
              <w:rPr>
                <w:sz w:val="24"/>
              </w:rPr>
              <w:t xml:space="preserve">新闻发布会          </w:t>
            </w:r>
            <w:r>
              <w:rPr>
                <w:bCs/>
                <w:iCs/>
                <w:sz w:val="24"/>
              </w:rPr>
              <w:t>□</w:t>
            </w:r>
            <w:r>
              <w:rPr>
                <w:sz w:val="24"/>
              </w:rPr>
              <w:t>路演活动</w:t>
            </w:r>
          </w:p>
          <w:p>
            <w:pPr>
              <w:tabs>
                <w:tab w:val="left" w:pos="3045"/>
                <w:tab w:val="center" w:pos="3199"/>
              </w:tabs>
              <w:spacing w:line="360" w:lineRule="auto"/>
              <w:rPr>
                <w:bCs/>
                <w:iCs/>
                <w:sz w:val="24"/>
              </w:rPr>
            </w:pPr>
            <w:r>
              <w:rPr>
                <w:bCs/>
                <w:iCs/>
                <w:sz w:val="24"/>
              </w:rPr>
              <w:t>□</w:t>
            </w:r>
            <w:r>
              <w:rPr>
                <w:sz w:val="24"/>
              </w:rPr>
              <w:t>现场参观</w:t>
            </w:r>
            <w:r>
              <w:rPr>
                <w:rFonts w:hint="eastAsia"/>
                <w:sz w:val="24"/>
                <w:lang w:val="en-US" w:eastAsia="zh-CN"/>
              </w:rPr>
              <w:t xml:space="preserve">            </w:t>
            </w:r>
            <w:r>
              <w:rPr>
                <w:bCs/>
                <w:iCs/>
                <w:sz w:val="24"/>
              </w:rPr>
              <w:t>□</w:t>
            </w:r>
            <w:r>
              <w:rPr>
                <w:rFonts w:hAnsi="宋体"/>
                <w:sz w:val="24"/>
              </w:rPr>
              <w:t>投资者接待日活动</w:t>
            </w:r>
            <w:r>
              <w:rPr>
                <w:bCs/>
                <w:iCs/>
                <w:sz w:val="24"/>
              </w:rPr>
              <w:tab/>
            </w:r>
          </w:p>
          <w:p>
            <w:pPr>
              <w:tabs>
                <w:tab w:val="left" w:pos="3045"/>
                <w:tab w:val="center" w:pos="3199"/>
              </w:tabs>
              <w:spacing w:line="360" w:lineRule="auto"/>
              <w:rPr>
                <w:rFonts w:hint="eastAsia" w:eastAsia="宋体"/>
                <w:bCs/>
                <w:iCs/>
                <w:sz w:val="24"/>
                <w:lang w:val="en-US" w:eastAsia="zh-CN"/>
              </w:rPr>
            </w:pPr>
            <w:r>
              <w:rPr>
                <w:bCs/>
                <w:iCs/>
                <w:sz w:val="24"/>
              </w:rPr>
              <w:sym w:font="Wingdings 2" w:char="0052"/>
            </w:r>
            <w:r>
              <w:rPr>
                <w:rFonts w:hint="eastAsia"/>
                <w:bCs/>
                <w:iCs/>
                <w:sz w:val="24"/>
                <w:lang w:val="en-US" w:eastAsia="zh-CN"/>
              </w:rPr>
              <w:t>其他（线上会议）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rPr>
            </w:pPr>
            <w:r>
              <w:rPr>
                <w:bCs/>
                <w:iCs/>
                <w:sz w:val="24"/>
              </w:rPr>
              <w:t>参与单位名称及人员姓名</w:t>
            </w:r>
          </w:p>
        </w:tc>
        <w:tc>
          <w:tcPr>
            <w:tcW w:w="7740" w:type="dxa"/>
            <w:tcBorders>
              <w:top w:val="single" w:color="auto" w:sz="4" w:space="0"/>
              <w:left w:val="single" w:color="auto" w:sz="4" w:space="0"/>
              <w:bottom w:val="single" w:color="auto" w:sz="4" w:space="0"/>
              <w:right w:val="single" w:color="auto" w:sz="4" w:space="0"/>
            </w:tcBorders>
          </w:tcPr>
          <w:p>
            <w:pPr>
              <w:spacing w:line="360" w:lineRule="auto"/>
              <w:rPr>
                <w:rFonts w:hint="default" w:eastAsia="宋体"/>
                <w:bCs/>
                <w:iCs/>
                <w:sz w:val="24"/>
                <w:lang w:val="en-US" w:eastAsia="zh-CN"/>
              </w:rPr>
            </w:pPr>
            <w:r>
              <w:rPr>
                <w:rFonts w:hint="eastAsia"/>
                <w:bCs/>
                <w:iCs/>
                <w:sz w:val="24"/>
              </w:rPr>
              <w:t>大成基金</w:t>
            </w:r>
            <w:r>
              <w:rPr>
                <w:rFonts w:hint="eastAsia"/>
                <w:bCs/>
                <w:iCs/>
                <w:sz w:val="24"/>
                <w:lang w:eastAsia="zh-CN"/>
              </w:rPr>
              <w:t>、</w:t>
            </w:r>
            <w:r>
              <w:rPr>
                <w:rFonts w:hint="eastAsia"/>
                <w:bCs/>
                <w:iCs/>
                <w:sz w:val="24"/>
                <w:lang w:val="en-US" w:eastAsia="zh-CN"/>
              </w:rPr>
              <w:t>华安基金、华泰保兴基金、华富基金、国投瑞银、金信基金、人保资产、中信产业基金、东海基金、</w:t>
            </w:r>
            <w:r>
              <w:rPr>
                <w:rFonts w:hint="eastAsia"/>
                <w:bCs/>
                <w:iCs/>
                <w:sz w:val="24"/>
              </w:rPr>
              <w:t>长城证券等</w:t>
            </w:r>
            <w:r>
              <w:rPr>
                <w:rFonts w:hint="eastAsia"/>
                <w:bCs/>
                <w:iCs/>
                <w:sz w:val="24"/>
                <w:lang w:val="en-US" w:eastAsia="zh-CN"/>
              </w:rPr>
              <w:t>60人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rPr>
            </w:pPr>
            <w:r>
              <w:rPr>
                <w:bCs/>
                <w:iCs/>
                <w:sz w:val="24"/>
              </w:rPr>
              <w:t>时间</w:t>
            </w:r>
          </w:p>
        </w:tc>
        <w:tc>
          <w:tcPr>
            <w:tcW w:w="7740" w:type="dxa"/>
            <w:tcBorders>
              <w:top w:val="single" w:color="auto" w:sz="4" w:space="0"/>
              <w:left w:val="single" w:color="auto" w:sz="4" w:space="0"/>
              <w:bottom w:val="single" w:color="auto" w:sz="4" w:space="0"/>
              <w:right w:val="single" w:color="auto" w:sz="4" w:space="0"/>
            </w:tcBorders>
          </w:tcPr>
          <w:p>
            <w:pPr>
              <w:spacing w:line="360" w:lineRule="auto"/>
              <w:rPr>
                <w:bCs/>
                <w:iCs/>
                <w:sz w:val="24"/>
              </w:rPr>
            </w:pPr>
            <w:r>
              <w:rPr>
                <w:rFonts w:hint="eastAsia"/>
                <w:bCs/>
                <w:iCs/>
                <w:sz w:val="24"/>
              </w:rPr>
              <w:t>2020年0</w:t>
            </w:r>
            <w:r>
              <w:rPr>
                <w:rFonts w:hint="eastAsia"/>
                <w:bCs/>
                <w:iCs/>
                <w:sz w:val="24"/>
                <w:lang w:val="en-US" w:eastAsia="zh-CN"/>
              </w:rPr>
              <w:t>2</w:t>
            </w:r>
            <w:r>
              <w:rPr>
                <w:rFonts w:hint="eastAsia"/>
                <w:bCs/>
                <w:iCs/>
                <w:sz w:val="24"/>
              </w:rPr>
              <w:t>月</w:t>
            </w:r>
            <w:r>
              <w:rPr>
                <w:rFonts w:hint="eastAsia"/>
                <w:bCs/>
                <w:iCs/>
                <w:sz w:val="24"/>
                <w:lang w:val="en-US" w:eastAsia="zh-CN"/>
              </w:rPr>
              <w:t>25</w:t>
            </w:r>
            <w:r>
              <w:rPr>
                <w:rFonts w:hint="eastAsia"/>
                <w:bCs/>
                <w:i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rPr>
            </w:pPr>
            <w:r>
              <w:rPr>
                <w:bCs/>
                <w:iCs/>
                <w:sz w:val="24"/>
              </w:rPr>
              <w:t>地点</w:t>
            </w:r>
          </w:p>
        </w:tc>
        <w:tc>
          <w:tcPr>
            <w:tcW w:w="7740" w:type="dxa"/>
            <w:tcBorders>
              <w:top w:val="single" w:color="auto" w:sz="4" w:space="0"/>
              <w:left w:val="single" w:color="auto" w:sz="4" w:space="0"/>
              <w:bottom w:val="single" w:color="auto" w:sz="4" w:space="0"/>
              <w:right w:val="single" w:color="auto" w:sz="4" w:space="0"/>
            </w:tcBorders>
          </w:tcPr>
          <w:p>
            <w:pPr>
              <w:spacing w:line="360" w:lineRule="auto"/>
              <w:rPr>
                <w:bCs/>
                <w:iCs/>
                <w:sz w:val="24"/>
              </w:rPr>
            </w:pPr>
            <w:r>
              <w:rPr>
                <w:rFonts w:hint="eastAsia"/>
                <w:bCs/>
                <w:iCs/>
                <w:sz w:val="24"/>
              </w:rPr>
              <w:t>无锡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1"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bCs/>
                <w:iCs/>
                <w:sz w:val="24"/>
              </w:rPr>
            </w:pPr>
            <w:r>
              <w:rPr>
                <w:bCs/>
                <w:iCs/>
                <w:sz w:val="24"/>
              </w:rPr>
              <w:t>上市公司接待人员姓名</w:t>
            </w:r>
          </w:p>
        </w:tc>
        <w:tc>
          <w:tcPr>
            <w:tcW w:w="7740" w:type="dxa"/>
            <w:tcBorders>
              <w:top w:val="single" w:color="auto" w:sz="4" w:space="0"/>
              <w:left w:val="single" w:color="auto" w:sz="4" w:space="0"/>
              <w:bottom w:val="single" w:color="auto" w:sz="4" w:space="0"/>
              <w:right w:val="single" w:color="auto" w:sz="4" w:space="0"/>
            </w:tcBorders>
          </w:tcPr>
          <w:p>
            <w:pPr>
              <w:spacing w:line="360" w:lineRule="auto"/>
              <w:rPr>
                <w:rFonts w:hint="eastAsia"/>
                <w:bCs/>
                <w:iCs/>
                <w:sz w:val="24"/>
                <w:lang w:val="en-US" w:eastAsia="zh-CN"/>
              </w:rPr>
            </w:pPr>
            <w:r>
              <w:rPr>
                <w:rFonts w:hint="eastAsia"/>
                <w:bCs/>
                <w:iCs/>
                <w:sz w:val="24"/>
              </w:rPr>
              <w:t>副总经理兼董事会秘书张利乾、</w:t>
            </w:r>
            <w:r>
              <w:rPr>
                <w:rFonts w:hint="eastAsia"/>
                <w:bCs/>
                <w:iCs/>
                <w:sz w:val="24"/>
                <w:lang w:val="en-US" w:eastAsia="zh-CN"/>
              </w:rPr>
              <w:t>易幻网络 CEO 王洋、IR总监 常兆亮</w:t>
            </w:r>
          </w:p>
          <w:p>
            <w:pPr>
              <w:spacing w:line="360" w:lineRule="auto"/>
              <w:rPr>
                <w:rFonts w:hint="default"/>
                <w:bCs/>
                <w:iCs/>
                <w:sz w:val="24"/>
                <w:lang w:val="en-US"/>
              </w:rPr>
            </w:pPr>
            <w:r>
              <w:rPr>
                <w:rFonts w:hint="eastAsia"/>
                <w:bCs/>
                <w:iCs/>
                <w:sz w:val="24"/>
                <w:lang w:val="en-US" w:eastAsia="zh-CN"/>
              </w:rPr>
              <w:t>证代 温波飞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381"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bCs/>
                <w:iCs/>
                <w:sz w:val="24"/>
              </w:rPr>
            </w:pPr>
            <w:r>
              <w:rPr>
                <w:bCs/>
                <w:iCs/>
                <w:sz w:val="24"/>
              </w:rPr>
              <w:t>投资者关</w:t>
            </w:r>
            <w:bookmarkStart w:id="0" w:name="_GoBack"/>
            <w:bookmarkEnd w:id="0"/>
            <w:r>
              <w:rPr>
                <w:bCs/>
                <w:iCs/>
                <w:sz w:val="24"/>
              </w:rPr>
              <w:t>系活动主要内容介绍</w:t>
            </w:r>
          </w:p>
          <w:p>
            <w:pPr>
              <w:spacing w:line="480" w:lineRule="atLeast"/>
              <w:rPr>
                <w:bCs/>
                <w:iCs/>
                <w:sz w:val="24"/>
              </w:rPr>
            </w:pPr>
          </w:p>
        </w:tc>
        <w:tc>
          <w:tcPr>
            <w:tcW w:w="77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rPr>
              <w:t>一、介绍部分</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rPr>
              <w:t>1、宝通科技介绍</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sz w:val="21"/>
                <w:szCs w:val="21"/>
              </w:rPr>
            </w:pPr>
            <w:r>
              <w:rPr>
                <w:rFonts w:hint="eastAsia"/>
                <w:b/>
                <w:bCs/>
                <w:sz w:val="21"/>
                <w:szCs w:val="21"/>
              </w:rPr>
              <w:t>业务和团队：</w:t>
            </w:r>
            <w:r>
              <w:rPr>
                <w:rFonts w:hint="eastAsia"/>
                <w:sz w:val="21"/>
                <w:szCs w:val="21"/>
              </w:rPr>
              <w:t>2018年对开始上市公司在业务规划、组织架构调整、企业文化和团队激励上花了大量的精力。由原来的单一区域化发行升级为区域化发行和全球研运一体双驱动；市场从港澳台、东南亚和韩国向日本、欧美大市场进行突破；逐步通过内部自建研发团队和外部投资团队补齐内容获取，保障我们产品的多元化；目前整个游戏业务板块管理团队都是从易幻网络原有管理团队衍生出来的，包括易幻网络现任CEO王总，也是14、15年早期创业的骨干员工之一，海南高图的CEO是我们易幻网络的联合创始人。游戏版块管理团队整体都是从原来易幻网络的管理团队中衍生出来的，在整个游戏行业中，团队的稳定性、连续性都是首屈一指。多方面的工作让我们2019年的经营业绩持续保持增长并且在新市场有了一个突破的态势。2020年制定了3-5年规划，主要从市场进行突破，从原来的二级市场向一级市场突破（即全球前三大游戏市场中国、日本、欧美）；自有内容、自有产品的贡献开始快速提升，研运一体构建逐渐成熟。</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eastAsia="宋体"/>
                <w:sz w:val="21"/>
                <w:szCs w:val="21"/>
                <w:lang w:eastAsia="zh-CN"/>
              </w:rPr>
            </w:pPr>
            <w:r>
              <w:rPr>
                <w:rFonts w:hint="eastAsia"/>
                <w:b/>
                <w:bCs/>
                <w:sz w:val="21"/>
                <w:szCs w:val="21"/>
                <w:lang w:val="en-US" w:eastAsia="zh-CN"/>
              </w:rPr>
              <w:t>员工持股计划：</w:t>
            </w:r>
            <w:r>
              <w:rPr>
                <w:rFonts w:hint="eastAsia"/>
                <w:sz w:val="21"/>
                <w:szCs w:val="21"/>
              </w:rPr>
              <w:t>员工持股计划主要目的是绑定与激励整个游戏版块的管理团队和核心骨干。价格</w:t>
            </w:r>
            <w:r>
              <w:rPr>
                <w:rFonts w:hint="eastAsia"/>
                <w:sz w:val="21"/>
                <w:szCs w:val="21"/>
                <w:lang w:val="en-US" w:eastAsia="zh-CN"/>
              </w:rPr>
              <w:t>合理</w:t>
            </w:r>
            <w:r>
              <w:rPr>
                <w:rFonts w:hint="eastAsia"/>
                <w:sz w:val="21"/>
                <w:szCs w:val="21"/>
              </w:rPr>
              <w:t>，总认购资金达3.5亿，都是自有资金</w:t>
            </w:r>
            <w:r>
              <w:rPr>
                <w:rFonts w:hint="eastAsia"/>
                <w:sz w:val="21"/>
                <w:szCs w:val="21"/>
                <w:lang w:val="en-US" w:eastAsia="zh-CN"/>
              </w:rPr>
              <w:t>进行</w:t>
            </w:r>
            <w:r>
              <w:rPr>
                <w:rFonts w:hint="eastAsia"/>
                <w:sz w:val="21"/>
                <w:szCs w:val="21"/>
              </w:rPr>
              <w:t>配置。团队核心骨干包括海南高图CEO杜总（易幻网络联合创始人），易幻网络的CEO 王总，早期核心创始员工陈总等以及未来具备成长性、两到三年会成为公司业务线中流砥柱的人员。员工持股计划较大激励了整个游戏板块员工，包括主要实施主体易幻的核心人员、海南高图、成都聚获的研发人员，未来除了员工持股计划，未来也不排除继续加大激励力度，让整个团队更长久、稳定</w:t>
            </w:r>
            <w:r>
              <w:rPr>
                <w:rFonts w:hint="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rPr>
              <w:t>二、问答部分</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rPr>
              <w:t>1、韩国和日本疫情比较严重，游戏出海数据，是否可以分享一下？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答：</w:t>
            </w:r>
            <w:r>
              <w:rPr>
                <w:rFonts w:hint="eastAsia"/>
                <w:sz w:val="21"/>
                <w:szCs w:val="21"/>
                <w:lang w:val="en-US" w:eastAsia="zh-CN"/>
              </w:rPr>
              <w:t>近期，</w:t>
            </w:r>
            <w:r>
              <w:rPr>
                <w:rFonts w:hint="eastAsia"/>
                <w:sz w:val="21"/>
                <w:szCs w:val="21"/>
              </w:rPr>
              <w:t>海外疫情</w:t>
            </w:r>
            <w:r>
              <w:rPr>
                <w:rFonts w:hint="eastAsia"/>
                <w:sz w:val="21"/>
                <w:szCs w:val="21"/>
                <w:lang w:val="en-US" w:eastAsia="zh-CN"/>
              </w:rPr>
              <w:t>出现了</w:t>
            </w:r>
            <w:r>
              <w:rPr>
                <w:rFonts w:hint="eastAsia"/>
                <w:sz w:val="21"/>
                <w:szCs w:val="21"/>
              </w:rPr>
              <w:t>一些变化，</w:t>
            </w:r>
            <w:r>
              <w:rPr>
                <w:rFonts w:hint="eastAsia"/>
                <w:sz w:val="21"/>
                <w:szCs w:val="21"/>
                <w:lang w:val="en-US" w:eastAsia="zh-CN"/>
              </w:rPr>
              <w:t>疫情当下，不论基于公司</w:t>
            </w:r>
            <w:r>
              <w:rPr>
                <w:rFonts w:hint="eastAsia"/>
                <w:sz w:val="21"/>
                <w:szCs w:val="21"/>
              </w:rPr>
              <w:t>业务</w:t>
            </w:r>
            <w:r>
              <w:rPr>
                <w:rFonts w:hint="eastAsia"/>
                <w:sz w:val="21"/>
                <w:szCs w:val="21"/>
                <w:lang w:val="en-US" w:eastAsia="zh-CN"/>
              </w:rPr>
              <w:t>角度发展</w:t>
            </w:r>
            <w:r>
              <w:rPr>
                <w:rFonts w:hint="eastAsia"/>
                <w:sz w:val="21"/>
                <w:szCs w:val="21"/>
              </w:rPr>
              <w:t>，</w:t>
            </w:r>
            <w:r>
              <w:rPr>
                <w:rFonts w:hint="eastAsia"/>
                <w:sz w:val="21"/>
                <w:szCs w:val="21"/>
                <w:lang w:val="en-US" w:eastAsia="zh-CN"/>
              </w:rPr>
              <w:t>还是我个人来看，我们</w:t>
            </w:r>
            <w:r>
              <w:rPr>
                <w:rFonts w:hint="eastAsia"/>
                <w:sz w:val="21"/>
                <w:szCs w:val="21"/>
              </w:rPr>
              <w:t>都不希望看到疫情</w:t>
            </w:r>
            <w:r>
              <w:rPr>
                <w:rFonts w:hint="eastAsia"/>
                <w:sz w:val="21"/>
                <w:szCs w:val="21"/>
                <w:lang w:val="en-US" w:eastAsia="zh-CN"/>
              </w:rPr>
              <w:t>的扩撒。目前，公司针对海外疫情采取了一些积极防护措施：一方面通过</w:t>
            </w:r>
            <w:r>
              <w:rPr>
                <w:rFonts w:hint="eastAsia"/>
                <w:sz w:val="21"/>
                <w:szCs w:val="21"/>
              </w:rPr>
              <w:t>国内防控模式复制到海外</w:t>
            </w:r>
            <w:r>
              <w:rPr>
                <w:rFonts w:hint="eastAsia"/>
                <w:sz w:val="21"/>
                <w:szCs w:val="21"/>
                <w:lang w:val="en-US" w:eastAsia="zh-CN"/>
              </w:rPr>
              <w:t>管理中</w:t>
            </w:r>
            <w:r>
              <w:rPr>
                <w:rFonts w:hint="eastAsia"/>
                <w:sz w:val="21"/>
                <w:szCs w:val="21"/>
              </w:rPr>
              <w:t>，确保员工自身健康</w:t>
            </w:r>
            <w:r>
              <w:rPr>
                <w:rFonts w:hint="eastAsia"/>
                <w:sz w:val="21"/>
                <w:szCs w:val="21"/>
                <w:lang w:eastAsia="zh-CN"/>
              </w:rPr>
              <w:t>，</w:t>
            </w:r>
            <w:r>
              <w:rPr>
                <w:rFonts w:hint="eastAsia"/>
                <w:sz w:val="21"/>
                <w:szCs w:val="21"/>
              </w:rPr>
              <w:t>物资</w:t>
            </w:r>
            <w:r>
              <w:rPr>
                <w:rFonts w:hint="eastAsia"/>
                <w:sz w:val="21"/>
                <w:szCs w:val="21"/>
                <w:lang w:val="en-US" w:eastAsia="zh-CN"/>
              </w:rPr>
              <w:t>供应</w:t>
            </w:r>
            <w:r>
              <w:rPr>
                <w:rFonts w:hint="eastAsia"/>
                <w:sz w:val="21"/>
                <w:szCs w:val="21"/>
              </w:rPr>
              <w:t>；</w:t>
            </w:r>
            <w:r>
              <w:rPr>
                <w:rFonts w:hint="eastAsia"/>
                <w:sz w:val="21"/>
                <w:szCs w:val="21"/>
                <w:lang w:val="en-US" w:eastAsia="zh-CN"/>
              </w:rPr>
              <w:t>另一方面</w:t>
            </w:r>
            <w:r>
              <w:rPr>
                <w:rFonts w:hint="eastAsia"/>
                <w:sz w:val="21"/>
                <w:szCs w:val="21"/>
              </w:rPr>
              <w:t>日本</w:t>
            </w:r>
            <w:r>
              <w:rPr>
                <w:rFonts w:hint="eastAsia"/>
                <w:sz w:val="21"/>
                <w:szCs w:val="21"/>
                <w:lang w:val="en-US" w:eastAsia="zh-CN"/>
              </w:rPr>
              <w:t>地区有一部分员工采取</w:t>
            </w:r>
            <w:r>
              <w:rPr>
                <w:rFonts w:hint="eastAsia"/>
                <w:sz w:val="21"/>
                <w:szCs w:val="21"/>
              </w:rPr>
              <w:t>在家办公</w:t>
            </w:r>
            <w:r>
              <w:rPr>
                <w:rFonts w:hint="eastAsia"/>
                <w:sz w:val="21"/>
                <w:szCs w:val="21"/>
                <w:lang w:val="en-US" w:eastAsia="zh-CN"/>
              </w:rPr>
              <w:t>的方式，不间断进行人文关怀，确保员工情绪稳定及业务正常开展。同时，公司也不断进行现有产品</w:t>
            </w:r>
            <w:r>
              <w:rPr>
                <w:rFonts w:hint="eastAsia"/>
                <w:sz w:val="21"/>
                <w:szCs w:val="21"/>
              </w:rPr>
              <w:t>版本迭代</w:t>
            </w:r>
            <w:r>
              <w:rPr>
                <w:rFonts w:hint="eastAsia"/>
                <w:sz w:val="21"/>
                <w:szCs w:val="21"/>
                <w:lang w:val="en-US" w:eastAsia="zh-CN"/>
              </w:rPr>
              <w:t>更新，调整推广策略，</w:t>
            </w:r>
            <w:r>
              <w:rPr>
                <w:rFonts w:hint="eastAsia"/>
                <w:sz w:val="21"/>
                <w:szCs w:val="21"/>
              </w:rPr>
              <w:t>维稳现有的游戏及主要产品，玩家时长会有提升，公司目前的整体活跃情况都有所上涨，同时公司也是做了一些准备来提高活跃程度，</w:t>
            </w:r>
            <w:r>
              <w:rPr>
                <w:rFonts w:hint="eastAsia"/>
                <w:sz w:val="21"/>
                <w:szCs w:val="21"/>
                <w:lang w:val="en-US" w:eastAsia="zh-CN"/>
              </w:rPr>
              <w:t>正在着手</w:t>
            </w:r>
            <w:r>
              <w:rPr>
                <w:rFonts w:hint="eastAsia"/>
                <w:sz w:val="21"/>
                <w:szCs w:val="21"/>
              </w:rPr>
              <w:t>准备未来的产品上线计划。</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2" w:firstLineChars="200"/>
              <w:textAlignment w:val="auto"/>
              <w:rPr>
                <w:rFonts w:hint="eastAsia"/>
                <w:b/>
                <w:bCs/>
                <w:sz w:val="21"/>
                <w:szCs w:val="21"/>
              </w:rPr>
            </w:pPr>
            <w:r>
              <w:rPr>
                <w:rFonts w:hint="eastAsia"/>
                <w:b/>
                <w:bCs/>
                <w:sz w:val="21"/>
                <w:szCs w:val="21"/>
              </w:rPr>
              <w:t>易幻游戏在韩国等东南亚地区的发行优势比较明显，那么游戏的收入在韩国地区的占比大概能达到多少呢？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val="0"/>
                <w:sz w:val="21"/>
                <w:szCs w:val="21"/>
                <w:lang w:eastAsia="zh-CN"/>
              </w:rPr>
            </w:pPr>
            <w:r>
              <w:rPr>
                <w:rFonts w:hint="eastAsia"/>
                <w:b w:val="0"/>
                <w:bCs w:val="0"/>
                <w:sz w:val="21"/>
                <w:szCs w:val="21"/>
              </w:rPr>
              <w:t>答：在我们目前所经营的市场里，韩国地区大概占总收入的40%左右</w:t>
            </w:r>
            <w:r>
              <w:rPr>
                <w:rFonts w:hint="eastAsia"/>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lang w:eastAsia="zh-CN"/>
              </w:rPr>
            </w:pPr>
            <w:r>
              <w:rPr>
                <w:rFonts w:hint="eastAsia"/>
                <w:b/>
                <w:bCs/>
                <w:sz w:val="21"/>
                <w:szCs w:val="21"/>
                <w:lang w:val="en-US" w:eastAsia="zh-CN"/>
              </w:rPr>
              <w:t>3</w:t>
            </w:r>
            <w:r>
              <w:rPr>
                <w:rFonts w:hint="eastAsia"/>
                <w:b/>
                <w:bCs/>
                <w:sz w:val="21"/>
                <w:szCs w:val="21"/>
                <w:lang w:eastAsia="zh-CN"/>
              </w:rPr>
              <w:t>、在近1~2个月内，韩国地区会新上线游戏吗？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val="0"/>
                <w:sz w:val="21"/>
                <w:szCs w:val="21"/>
                <w:lang w:eastAsia="zh-CN"/>
              </w:rPr>
            </w:pPr>
            <w:r>
              <w:rPr>
                <w:rFonts w:hint="eastAsia"/>
                <w:b w:val="0"/>
                <w:bCs w:val="0"/>
                <w:sz w:val="21"/>
                <w:szCs w:val="21"/>
                <w:lang w:eastAsia="zh-CN"/>
              </w:rPr>
              <w:t>答：</w:t>
            </w:r>
            <w:r>
              <w:rPr>
                <w:rFonts w:hint="eastAsia"/>
                <w:b w:val="0"/>
                <w:bCs w:val="0"/>
                <w:sz w:val="21"/>
                <w:szCs w:val="21"/>
                <w:lang w:val="en-US" w:eastAsia="zh-CN"/>
              </w:rPr>
              <w:t>韩国地区一直是我公司的重点区域，公司一直都有准备在该地区上线新品</w:t>
            </w:r>
            <w:r>
              <w:rPr>
                <w:rFonts w:hint="eastAsia"/>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val="0"/>
                <w:bCs w:val="0"/>
                <w:sz w:val="21"/>
                <w:szCs w:val="21"/>
                <w:lang w:eastAsia="zh-CN"/>
              </w:rPr>
            </w:pPr>
            <w:r>
              <w:rPr>
                <w:rFonts w:hint="eastAsia"/>
                <w:b/>
                <w:bCs/>
                <w:sz w:val="21"/>
                <w:szCs w:val="21"/>
                <w:lang w:val="en-US" w:eastAsia="zh-CN"/>
              </w:rPr>
              <w:t>4</w:t>
            </w:r>
            <w:r>
              <w:rPr>
                <w:rFonts w:hint="eastAsia"/>
                <w:b/>
                <w:bCs/>
                <w:sz w:val="21"/>
                <w:szCs w:val="21"/>
                <w:lang w:eastAsia="zh-CN"/>
              </w:rPr>
              <w:t>、我们现在在韩国地区还有哪些比较好的游戏在运营着？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val="0"/>
                <w:sz w:val="21"/>
                <w:szCs w:val="21"/>
                <w:lang w:eastAsia="zh-CN"/>
              </w:rPr>
            </w:pPr>
            <w:r>
              <w:rPr>
                <w:rFonts w:hint="eastAsia"/>
                <w:b w:val="0"/>
                <w:bCs w:val="0"/>
                <w:sz w:val="21"/>
                <w:szCs w:val="21"/>
                <w:lang w:eastAsia="zh-CN"/>
              </w:rPr>
              <w:t>答：</w:t>
            </w:r>
            <w:r>
              <w:rPr>
                <w:rFonts w:hint="eastAsia"/>
                <w:b w:val="0"/>
                <w:bCs w:val="0"/>
                <w:sz w:val="21"/>
                <w:szCs w:val="21"/>
                <w:lang w:val="en-US" w:eastAsia="zh-CN"/>
              </w:rPr>
              <w:t>目前韩国地区运营的游戏有</w:t>
            </w:r>
            <w:r>
              <w:rPr>
                <w:rFonts w:hint="eastAsia"/>
                <w:b w:val="0"/>
                <w:bCs w:val="0"/>
                <w:sz w:val="21"/>
                <w:szCs w:val="21"/>
                <w:lang w:eastAsia="zh-CN"/>
              </w:rPr>
              <w:t>《三国群英战》、《龙族幻想》、《龙之怒吼》、《万王之王》等</w:t>
            </w:r>
            <w:r>
              <w:rPr>
                <w:rFonts w:hint="eastAsia"/>
                <w:b w:val="0"/>
                <w:bCs w:val="0"/>
                <w:sz w:val="21"/>
                <w:szCs w:val="21"/>
                <w:lang w:val="en-US" w:eastAsia="zh-CN"/>
              </w:rPr>
              <w:t>产品</w:t>
            </w:r>
            <w:r>
              <w:rPr>
                <w:rFonts w:hint="eastAsia"/>
                <w:b w:val="0"/>
                <w:bCs w:val="0"/>
                <w:sz w:val="21"/>
                <w:szCs w:val="21"/>
                <w:lang w:eastAsia="zh-CN"/>
              </w:rPr>
              <w:t>，目前，</w:t>
            </w:r>
            <w:r>
              <w:rPr>
                <w:rFonts w:hint="eastAsia"/>
                <w:b w:val="0"/>
                <w:bCs w:val="0"/>
                <w:sz w:val="21"/>
                <w:szCs w:val="21"/>
                <w:lang w:val="en-US" w:eastAsia="zh-CN"/>
              </w:rPr>
              <w:t>在韩国地区已运营的产品有</w:t>
            </w:r>
            <w:r>
              <w:rPr>
                <w:rFonts w:hint="eastAsia"/>
                <w:b w:val="0"/>
                <w:bCs w:val="0"/>
                <w:sz w:val="21"/>
                <w:szCs w:val="21"/>
                <w:lang w:eastAsia="zh-CN"/>
              </w:rPr>
              <w:t>十</w:t>
            </w:r>
            <w:r>
              <w:rPr>
                <w:rFonts w:hint="eastAsia"/>
                <w:b w:val="0"/>
                <w:bCs w:val="0"/>
                <w:sz w:val="21"/>
                <w:szCs w:val="21"/>
                <w:lang w:val="en-US" w:eastAsia="zh-CN"/>
              </w:rPr>
              <w:t>余</w:t>
            </w:r>
            <w:r>
              <w:rPr>
                <w:rFonts w:hint="eastAsia"/>
                <w:b w:val="0"/>
                <w:bCs w:val="0"/>
                <w:sz w:val="21"/>
                <w:szCs w:val="21"/>
                <w:lang w:eastAsia="zh-CN"/>
              </w:rPr>
              <w:t>款。</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lang w:eastAsia="zh-CN"/>
              </w:rPr>
            </w:pPr>
            <w:r>
              <w:rPr>
                <w:rFonts w:hint="eastAsia"/>
                <w:b/>
                <w:bCs/>
                <w:sz w:val="21"/>
                <w:szCs w:val="21"/>
                <w:lang w:val="en-US" w:eastAsia="zh-CN"/>
              </w:rPr>
              <w:t>5</w:t>
            </w:r>
            <w:r>
              <w:rPr>
                <w:rFonts w:hint="eastAsia"/>
                <w:b/>
                <w:bCs/>
                <w:sz w:val="21"/>
                <w:szCs w:val="21"/>
                <w:lang w:eastAsia="zh-CN"/>
              </w:rPr>
              <w:t>、易幻网络目前呢还有12亿的商誉，想问一下您预计未来易幻网络的业绩能达到多少呢？</w:t>
            </w:r>
            <w:r>
              <w:rPr>
                <w:rFonts w:hint="eastAsia"/>
                <w:b/>
                <w:bCs/>
                <w:sz w:val="21"/>
                <w:szCs w:val="21"/>
                <w:lang w:val="en-US" w:eastAsia="zh-CN"/>
              </w:rPr>
              <w:t>商誉有减值风险吗</w:t>
            </w:r>
            <w:r>
              <w:rPr>
                <w:rFonts w:hint="eastAsia"/>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val="0"/>
                <w:sz w:val="21"/>
                <w:szCs w:val="21"/>
                <w:lang w:eastAsia="zh-CN"/>
              </w:rPr>
            </w:pPr>
            <w:r>
              <w:rPr>
                <w:rFonts w:hint="eastAsia"/>
                <w:b w:val="0"/>
                <w:bCs w:val="0"/>
                <w:sz w:val="21"/>
                <w:szCs w:val="21"/>
                <w:lang w:eastAsia="zh-CN"/>
              </w:rPr>
              <w:t>答：不会存在商誉问题。今年的商誉是不会计提的，</w:t>
            </w:r>
            <w:r>
              <w:rPr>
                <w:rFonts w:hint="eastAsia"/>
                <w:b w:val="0"/>
                <w:bCs w:val="0"/>
                <w:sz w:val="21"/>
                <w:szCs w:val="21"/>
                <w:lang w:val="en-US" w:eastAsia="zh-CN"/>
              </w:rPr>
              <w:t>易幻网络</w:t>
            </w:r>
            <w:r>
              <w:rPr>
                <w:rFonts w:hint="eastAsia"/>
                <w:b w:val="0"/>
                <w:bCs w:val="0"/>
                <w:sz w:val="21"/>
                <w:szCs w:val="21"/>
                <w:lang w:eastAsia="zh-CN"/>
              </w:rPr>
              <w:t>在过去四年</w:t>
            </w:r>
            <w:r>
              <w:rPr>
                <w:rFonts w:hint="eastAsia"/>
                <w:b w:val="0"/>
                <w:bCs w:val="0"/>
                <w:sz w:val="21"/>
                <w:szCs w:val="21"/>
                <w:lang w:val="en-US" w:eastAsia="zh-CN"/>
              </w:rPr>
              <w:t>中，经营情况一直比较稳定，</w:t>
            </w:r>
            <w:r>
              <w:rPr>
                <w:rFonts w:hint="eastAsia"/>
                <w:b w:val="0"/>
                <w:bCs w:val="0"/>
                <w:sz w:val="21"/>
                <w:szCs w:val="21"/>
                <w:lang w:eastAsia="zh-CN"/>
              </w:rPr>
              <w:t>净利润都是逐年增长的。</w:t>
            </w:r>
            <w:r>
              <w:rPr>
                <w:rFonts w:hint="eastAsia"/>
                <w:b w:val="0"/>
                <w:bCs w:val="0"/>
                <w:sz w:val="21"/>
                <w:szCs w:val="21"/>
                <w:lang w:val="en-US" w:eastAsia="zh-CN"/>
              </w:rPr>
              <w:t>我们认为公司未来还有很大的提升空间，</w:t>
            </w:r>
            <w:r>
              <w:rPr>
                <w:rFonts w:hint="eastAsia"/>
                <w:b w:val="0"/>
                <w:bCs w:val="0"/>
                <w:sz w:val="21"/>
                <w:szCs w:val="21"/>
                <w:lang w:eastAsia="zh-CN"/>
              </w:rPr>
              <w:t>配合未来易幻即将要发布的新产品线和</w:t>
            </w:r>
            <w:r>
              <w:rPr>
                <w:rFonts w:hint="eastAsia"/>
                <w:b w:val="0"/>
                <w:bCs w:val="0"/>
                <w:sz w:val="21"/>
                <w:szCs w:val="21"/>
                <w:lang w:val="en-US" w:eastAsia="zh-CN"/>
              </w:rPr>
              <w:t>集团公司</w:t>
            </w:r>
            <w:r>
              <w:rPr>
                <w:rFonts w:hint="eastAsia"/>
                <w:b w:val="0"/>
                <w:bCs w:val="0"/>
                <w:sz w:val="21"/>
                <w:szCs w:val="21"/>
                <w:lang w:eastAsia="zh-CN"/>
              </w:rPr>
              <w:t>VR的建设</w:t>
            </w:r>
            <w:r>
              <w:rPr>
                <w:rFonts w:hint="eastAsia"/>
                <w:b w:val="0"/>
                <w:bCs w:val="0"/>
                <w:sz w:val="21"/>
                <w:szCs w:val="21"/>
                <w:lang w:val="en-US" w:eastAsia="zh-CN"/>
              </w:rPr>
              <w:t>布局</w:t>
            </w:r>
            <w:r>
              <w:rPr>
                <w:rFonts w:hint="eastAsia"/>
                <w:b w:val="0"/>
                <w:bCs w:val="0"/>
                <w:sz w:val="21"/>
                <w:szCs w:val="21"/>
                <w:lang w:eastAsia="zh-CN"/>
              </w:rPr>
              <w:t>，</w:t>
            </w:r>
            <w:r>
              <w:rPr>
                <w:rFonts w:hint="eastAsia"/>
                <w:b w:val="0"/>
                <w:bCs w:val="0"/>
                <w:sz w:val="21"/>
                <w:szCs w:val="21"/>
                <w:lang w:val="en-US" w:eastAsia="zh-CN"/>
              </w:rPr>
              <w:t>看好未来3-5年的发展</w:t>
            </w:r>
            <w:r>
              <w:rPr>
                <w:rFonts w:hint="eastAsia"/>
                <w:b w:val="0"/>
                <w:bCs w:val="0"/>
                <w:sz w:val="21"/>
                <w:szCs w:val="21"/>
                <w:lang w:eastAsia="zh-CN"/>
              </w:rPr>
              <w:t>。</w:t>
            </w:r>
            <w:r>
              <w:rPr>
                <w:rFonts w:hint="eastAsia"/>
                <w:b w:val="0"/>
                <w:bCs w:val="0"/>
                <w:sz w:val="21"/>
                <w:szCs w:val="21"/>
                <w:lang w:val="en-US" w:eastAsia="zh-CN"/>
              </w:rPr>
              <w:t>同时，本次股权激励计划也会</w:t>
            </w:r>
            <w:r>
              <w:rPr>
                <w:rFonts w:hint="eastAsia"/>
                <w:b w:val="0"/>
                <w:bCs w:val="0"/>
                <w:sz w:val="21"/>
                <w:szCs w:val="21"/>
                <w:lang w:eastAsia="zh-CN"/>
              </w:rPr>
              <w:t>有一个锁定期，为了我们的整个核心团队在这个锁定区域里去创造一个更大的价值，以我自己为例，我的锁定期在一年以上。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val="0"/>
                <w:sz w:val="21"/>
                <w:szCs w:val="21"/>
                <w:lang w:eastAsia="zh-CN"/>
              </w:rPr>
            </w:pPr>
            <w:r>
              <w:rPr>
                <w:rFonts w:hint="eastAsia"/>
                <w:b w:val="0"/>
                <w:bCs w:val="0"/>
                <w:sz w:val="21"/>
                <w:szCs w:val="21"/>
                <w:lang w:val="en-US" w:eastAsia="zh-CN"/>
              </w:rPr>
              <w:t>同时，</w:t>
            </w:r>
            <w:r>
              <w:rPr>
                <w:rFonts w:hint="eastAsia"/>
                <w:b w:val="0"/>
                <w:bCs w:val="0"/>
                <w:sz w:val="21"/>
                <w:szCs w:val="21"/>
                <w:lang w:eastAsia="zh-CN"/>
              </w:rPr>
              <w:t>公司在19年开始开拓日本市场，20年公司</w:t>
            </w:r>
            <w:r>
              <w:rPr>
                <w:rFonts w:hint="eastAsia"/>
                <w:b w:val="0"/>
                <w:bCs w:val="0"/>
                <w:sz w:val="21"/>
                <w:szCs w:val="21"/>
                <w:lang w:val="en-US" w:eastAsia="zh-CN"/>
              </w:rPr>
              <w:t>将</w:t>
            </w:r>
            <w:r>
              <w:rPr>
                <w:rFonts w:hint="eastAsia"/>
                <w:b w:val="0"/>
                <w:bCs w:val="0"/>
                <w:sz w:val="21"/>
                <w:szCs w:val="21"/>
                <w:lang w:eastAsia="zh-CN"/>
              </w:rPr>
              <w:t>开拓中国市场。就去年而言，日本发行产品总量是3款，今年我们</w:t>
            </w:r>
            <w:r>
              <w:rPr>
                <w:rFonts w:hint="eastAsia"/>
                <w:b w:val="0"/>
                <w:bCs w:val="0"/>
                <w:sz w:val="21"/>
                <w:szCs w:val="21"/>
                <w:lang w:val="en-US" w:eastAsia="zh-CN"/>
              </w:rPr>
              <w:t>储备</w:t>
            </w:r>
            <w:r>
              <w:rPr>
                <w:rFonts w:hint="eastAsia"/>
                <w:b w:val="0"/>
                <w:bCs w:val="0"/>
                <w:sz w:val="21"/>
                <w:szCs w:val="21"/>
                <w:lang w:eastAsia="zh-CN"/>
              </w:rPr>
              <w:t>了7款；而国内市场去年是0，今年我们也有自研项目在去准备，</w:t>
            </w:r>
            <w:r>
              <w:rPr>
                <w:rFonts w:hint="eastAsia"/>
                <w:b w:val="0"/>
                <w:bCs w:val="0"/>
                <w:sz w:val="21"/>
                <w:szCs w:val="21"/>
                <w:lang w:val="en-US" w:eastAsia="zh-CN"/>
              </w:rPr>
              <w:t>这些都将成为公司未来业绩提供支撑</w:t>
            </w:r>
            <w:r>
              <w:rPr>
                <w:rFonts w:hint="eastAsia"/>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lang w:eastAsia="zh-CN"/>
              </w:rPr>
            </w:pPr>
            <w:r>
              <w:rPr>
                <w:rFonts w:hint="eastAsia"/>
                <w:b/>
                <w:bCs/>
                <w:sz w:val="21"/>
                <w:szCs w:val="21"/>
                <w:lang w:val="en-US" w:eastAsia="zh-CN"/>
              </w:rPr>
              <w:t>6</w:t>
            </w:r>
            <w:r>
              <w:rPr>
                <w:rFonts w:hint="eastAsia"/>
                <w:b/>
                <w:bCs/>
                <w:sz w:val="21"/>
                <w:szCs w:val="21"/>
                <w:lang w:eastAsia="zh-CN"/>
              </w:rPr>
              <w:t>、这次的股权激励计划锁定的高管包括哪些？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val="0"/>
                <w:sz w:val="21"/>
                <w:szCs w:val="21"/>
                <w:lang w:eastAsia="zh-CN"/>
              </w:rPr>
            </w:pPr>
            <w:r>
              <w:rPr>
                <w:rFonts w:hint="eastAsia"/>
                <w:b w:val="0"/>
                <w:bCs w:val="0"/>
                <w:sz w:val="21"/>
                <w:szCs w:val="21"/>
                <w:lang w:eastAsia="zh-CN"/>
              </w:rPr>
              <w:t>答：覆盖了几乎所有管理层级，低到部门主管，高到易幻网络CEO基本都锁定在内。举个例子，王总是易幻网络CEO，杜总是易幻网络联合创始人，现在也是海南高图的CEO，陈植锋是早期CTO，算是易幻网络早期创始员工，包括曾总也都是早期创始员工，现在在业务板块领导技术等核心岗位。</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lang w:eastAsia="zh-CN"/>
              </w:rPr>
            </w:pPr>
            <w:r>
              <w:rPr>
                <w:rFonts w:hint="eastAsia"/>
                <w:b/>
                <w:bCs/>
                <w:sz w:val="21"/>
                <w:szCs w:val="21"/>
                <w:lang w:val="en-US" w:eastAsia="zh-CN"/>
              </w:rPr>
              <w:t>7</w:t>
            </w:r>
            <w:r>
              <w:rPr>
                <w:rFonts w:hint="eastAsia"/>
                <w:b/>
                <w:bCs/>
                <w:sz w:val="21"/>
                <w:szCs w:val="21"/>
                <w:lang w:eastAsia="zh-CN"/>
              </w:rPr>
              <w:t>、介绍一下研发团队的规模和背景？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val="0"/>
                <w:sz w:val="21"/>
                <w:szCs w:val="21"/>
                <w:lang w:eastAsia="zh-CN"/>
              </w:rPr>
            </w:pPr>
            <w:r>
              <w:rPr>
                <w:rFonts w:hint="eastAsia"/>
                <w:b w:val="0"/>
                <w:bCs w:val="0"/>
                <w:sz w:val="21"/>
                <w:szCs w:val="21"/>
                <w:lang w:eastAsia="zh-CN"/>
              </w:rPr>
              <w:t>答：现在研发有三块：（1）研运一体，主要是高图在做SLG项目。SLG项目立项周期会相对较长和困难，推广周期也基本上都是两年起，思路是边调整边推广。而高图有一个比较完整的全球化团队，其次他们研发团队也做过类似的产品，所面对的用户群也是非常精准的，所以在做SLG项目研运一体方面会有比较大的优势。（2）聚获主要定位在细分二次元品类里做一些内容产出，现在在做的《终末塔卫团》，希望通过产品慢慢去打造一个IP，未来把这个IP延伸为内容向、影视向、漫画创造向、游戏向或者娱乐向。（3）易幻主要以定制和联合开发为主，目前我们在做的产品，比如D3（代号），是一个MMORPG项目，它以全球化为风格定调的产品，大概会在九月份出，核心市场是韩国。另外有一个定制的项目，也是联合开发的一个项目，可能要今年年底，它是一个IP向的产品，目前还不方便透露。</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lang w:eastAsia="zh-CN"/>
              </w:rPr>
            </w:pPr>
            <w:r>
              <w:rPr>
                <w:rFonts w:hint="eastAsia"/>
                <w:b/>
                <w:bCs/>
                <w:sz w:val="21"/>
                <w:szCs w:val="21"/>
                <w:lang w:val="en-US" w:eastAsia="zh-CN"/>
              </w:rPr>
              <w:t>8</w:t>
            </w:r>
            <w:r>
              <w:rPr>
                <w:rFonts w:hint="eastAsia"/>
                <w:b/>
                <w:bCs/>
                <w:sz w:val="21"/>
                <w:szCs w:val="21"/>
                <w:lang w:eastAsia="zh-CN"/>
              </w:rPr>
              <w:t>、研发团队规模？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val="0"/>
                <w:sz w:val="21"/>
                <w:szCs w:val="21"/>
                <w:lang w:eastAsia="zh-CN"/>
              </w:rPr>
            </w:pPr>
            <w:r>
              <w:rPr>
                <w:rFonts w:hint="eastAsia"/>
                <w:b w:val="0"/>
                <w:bCs w:val="0"/>
                <w:sz w:val="21"/>
                <w:szCs w:val="21"/>
                <w:lang w:eastAsia="zh-CN"/>
              </w:rPr>
              <w:t>答：宝通体系研发团队约有</w:t>
            </w:r>
            <w:r>
              <w:rPr>
                <w:rFonts w:hint="eastAsia"/>
                <w:b w:val="0"/>
                <w:bCs w:val="0"/>
                <w:sz w:val="21"/>
                <w:szCs w:val="21"/>
                <w:lang w:val="en-US" w:eastAsia="zh-CN"/>
              </w:rPr>
              <w:t>200余</w:t>
            </w:r>
            <w:r>
              <w:rPr>
                <w:rFonts w:hint="eastAsia"/>
                <w:b w:val="0"/>
                <w:bCs w:val="0"/>
                <w:sz w:val="21"/>
                <w:szCs w:val="21"/>
                <w:lang w:eastAsia="zh-CN"/>
              </w:rPr>
              <w:t>人，2020年会继续扩充研发团队。成都聚获是一个十几年游戏经验的完整团队，建制完整且默契度高，当时看好团队对二次元产品的理解和产出效率。长期战略包括通过产品迭代，抚育出自己的IP，孵化更多研发线。目前进展较好，国内已经开始SDK对接。聚获起手二次元（结合社区行为、动漫、周边等多产业），但更多是一个内容产业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val="0"/>
                <w:sz w:val="21"/>
                <w:szCs w:val="21"/>
                <w:lang w:eastAsia="zh-CN"/>
              </w:rPr>
            </w:pPr>
            <w:r>
              <w:rPr>
                <w:rFonts w:hint="eastAsia"/>
                <w:b w:val="0"/>
                <w:bCs w:val="0"/>
                <w:sz w:val="21"/>
                <w:szCs w:val="21"/>
                <w:lang w:eastAsia="zh-CN"/>
              </w:rPr>
              <w:t>海南高图模式偏向“研运一体”。杜总担任海南高图CEO是在体系内二次创业，扛起“研运一体”大旗。</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lang w:eastAsia="zh-CN"/>
              </w:rPr>
            </w:pPr>
            <w:r>
              <w:rPr>
                <w:rFonts w:hint="eastAsia"/>
                <w:b/>
                <w:bCs/>
                <w:sz w:val="21"/>
                <w:szCs w:val="21"/>
                <w:lang w:val="en-US" w:eastAsia="zh-CN"/>
              </w:rPr>
              <w:t>9</w:t>
            </w:r>
            <w:r>
              <w:rPr>
                <w:rFonts w:hint="eastAsia"/>
                <w:b/>
                <w:bCs/>
                <w:sz w:val="21"/>
                <w:szCs w:val="21"/>
                <w:lang w:eastAsia="zh-CN"/>
              </w:rPr>
              <w:t>、介绍一下《WST》、《终末塔卫团》？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val="0"/>
                <w:sz w:val="21"/>
                <w:szCs w:val="21"/>
                <w:lang w:eastAsia="zh-CN"/>
              </w:rPr>
            </w:pPr>
            <w:r>
              <w:rPr>
                <w:rFonts w:hint="eastAsia"/>
                <w:b w:val="0"/>
                <w:bCs w:val="0"/>
                <w:sz w:val="21"/>
                <w:szCs w:val="21"/>
                <w:lang w:eastAsia="zh-CN"/>
              </w:rPr>
              <w:t>答：成都聚获《终末塔卫团》在今年Q4正式上线，首次与玩家见面大约在Q2。海南高图《WST》，内部测试应该在Q1，如果顺利，Q2或者Q3会有规模化推广。《终末塔卫团》目前交给国内一个最大的二次元发行平台合作。</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lang w:eastAsia="zh-CN"/>
              </w:rPr>
            </w:pPr>
            <w:r>
              <w:rPr>
                <w:rFonts w:hint="eastAsia"/>
                <w:b/>
                <w:bCs/>
                <w:sz w:val="21"/>
                <w:szCs w:val="21"/>
                <w:lang w:val="en-US" w:eastAsia="zh-CN"/>
              </w:rPr>
              <w:t>10</w:t>
            </w:r>
            <w:r>
              <w:rPr>
                <w:rFonts w:hint="eastAsia"/>
                <w:b/>
                <w:bCs/>
                <w:sz w:val="21"/>
                <w:szCs w:val="21"/>
                <w:lang w:eastAsia="zh-CN"/>
              </w:rPr>
              <w:t>、跟哈视奇有没有想过如何进一步扩大VR休闲游戏市场份额，巩固龙头地位？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val="0"/>
                <w:sz w:val="21"/>
                <w:szCs w:val="21"/>
                <w:lang w:eastAsia="zh-CN"/>
              </w:rPr>
            </w:pPr>
            <w:r>
              <w:rPr>
                <w:rFonts w:hint="eastAsia"/>
                <w:b w:val="0"/>
                <w:bCs w:val="0"/>
                <w:sz w:val="21"/>
                <w:szCs w:val="21"/>
                <w:lang w:eastAsia="zh-CN"/>
              </w:rPr>
              <w:t>答：休闲游戏这块已经经营的比较成熟了，易幻网络和哈视奇的合作会建立在一些除休闲游戏外的重度游戏上，比如探索型的游戏、社区型、交互型的游戏，还有包括一些沙盒游戏。目前公司也在着手准备去搭建整个VR的业务板块，在下半年我相信大家都会看到一些落地成果出来。</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lang w:eastAsia="zh-CN"/>
              </w:rPr>
            </w:pPr>
            <w:r>
              <w:rPr>
                <w:rFonts w:hint="eastAsia"/>
                <w:b/>
                <w:bCs/>
                <w:sz w:val="21"/>
                <w:szCs w:val="21"/>
                <w:lang w:val="en-US" w:eastAsia="zh-CN"/>
              </w:rPr>
              <w:t>11</w:t>
            </w:r>
            <w:r>
              <w:rPr>
                <w:rFonts w:hint="eastAsia"/>
                <w:b/>
                <w:bCs/>
                <w:sz w:val="21"/>
                <w:szCs w:val="21"/>
                <w:lang w:eastAsia="zh-CN"/>
              </w:rPr>
              <w:t>、未来是否有VR的发行计划？有可能把外来的VR引进进来吗？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val="0"/>
                <w:sz w:val="21"/>
                <w:szCs w:val="21"/>
                <w:lang w:eastAsia="zh-CN"/>
              </w:rPr>
            </w:pPr>
            <w:r>
              <w:rPr>
                <w:rFonts w:hint="eastAsia"/>
                <w:b w:val="0"/>
                <w:bCs w:val="0"/>
                <w:sz w:val="21"/>
                <w:szCs w:val="21"/>
                <w:lang w:eastAsia="zh-CN"/>
              </w:rPr>
              <w:t>答：有这个可能性，目前商务在和国外一些优质的载体在做一些沟通。</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lang w:eastAsia="zh-CN"/>
              </w:rPr>
            </w:pPr>
            <w:r>
              <w:rPr>
                <w:rFonts w:hint="eastAsia"/>
                <w:b/>
                <w:bCs/>
                <w:sz w:val="21"/>
                <w:szCs w:val="21"/>
                <w:lang w:val="en-US" w:eastAsia="zh-CN"/>
              </w:rPr>
              <w:t>12</w:t>
            </w:r>
            <w:r>
              <w:rPr>
                <w:rFonts w:hint="eastAsia"/>
                <w:b/>
                <w:bCs/>
                <w:sz w:val="21"/>
                <w:szCs w:val="21"/>
                <w:lang w:eastAsia="zh-CN"/>
              </w:rPr>
              <w:t>、公司在VR方面有自研的计划吗？和哈视奇以后的合作会以增加持股比例或其他形式展开吗？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val="0"/>
                <w:sz w:val="21"/>
                <w:szCs w:val="21"/>
                <w:lang w:eastAsia="zh-CN"/>
              </w:rPr>
            </w:pPr>
            <w:r>
              <w:rPr>
                <w:rFonts w:hint="eastAsia"/>
                <w:b w:val="0"/>
                <w:bCs w:val="0"/>
                <w:sz w:val="21"/>
                <w:szCs w:val="21"/>
                <w:lang w:eastAsia="zh-CN"/>
              </w:rPr>
              <w:t>答：我们非常重视VR这块，目前和哈视奇的合作在我们整个的战略计划里只是一个初步的落地，接下来会在内容上跟进。不排除控股哈视奇的可能性，因为目前哈视奇to C端和易幻网络的结合，to B端和工业互联网的结合都是已经探索出一种模式了。未来我们在整个VR这一块有了内容之后，平台的搭建等等都在规划里。所以还是具有比较大的想象空间和未来落地的可能性。</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lang w:eastAsia="zh-CN"/>
              </w:rPr>
            </w:pPr>
            <w:r>
              <w:rPr>
                <w:rFonts w:hint="eastAsia"/>
                <w:b/>
                <w:bCs/>
                <w:sz w:val="21"/>
                <w:szCs w:val="21"/>
                <w:lang w:eastAsia="zh-CN"/>
              </w:rPr>
              <w:t>1</w:t>
            </w:r>
            <w:r>
              <w:rPr>
                <w:rFonts w:hint="eastAsia"/>
                <w:b/>
                <w:bCs/>
                <w:sz w:val="21"/>
                <w:szCs w:val="21"/>
                <w:lang w:val="en-US" w:eastAsia="zh-CN"/>
              </w:rPr>
              <w:t>3</w:t>
            </w:r>
            <w:r>
              <w:rPr>
                <w:rFonts w:hint="eastAsia"/>
                <w:b/>
                <w:bCs/>
                <w:sz w:val="21"/>
                <w:szCs w:val="21"/>
                <w:lang w:eastAsia="zh-CN"/>
              </w:rPr>
              <w:t>、在内容这方面，是全部靠哈视奇去研发，还是我们也有自研？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val="0"/>
                <w:sz w:val="21"/>
                <w:szCs w:val="21"/>
                <w:lang w:eastAsia="zh-CN"/>
              </w:rPr>
            </w:pPr>
            <w:r>
              <w:rPr>
                <w:rFonts w:hint="eastAsia"/>
                <w:b w:val="0"/>
                <w:bCs w:val="0"/>
                <w:sz w:val="21"/>
                <w:szCs w:val="21"/>
                <w:lang w:eastAsia="zh-CN"/>
              </w:rPr>
              <w:t>答：目前哈视奇属于国内顶尖的VR内容研发商，在目前国内的VR市场环境里，能做VR研发的不太多，包括unity在提供引擎支持上，未来unity好像不会再提供VR的支持了，所以有哈视奇这样的团队为易幻去定制内容，会比较科学也比较高效。所以未来第一步计划，易幻和哈视奇会去做一些深度的绑定合作，去提供VR产品给到市场。这是关于业务层面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val="0"/>
                <w:sz w:val="21"/>
                <w:szCs w:val="21"/>
                <w:lang w:eastAsia="zh-CN"/>
              </w:rPr>
            </w:pPr>
            <w:r>
              <w:rPr>
                <w:rFonts w:hint="eastAsia"/>
                <w:b w:val="0"/>
                <w:bCs w:val="0"/>
                <w:sz w:val="21"/>
                <w:szCs w:val="21"/>
                <w:lang w:eastAsia="zh-CN"/>
              </w:rPr>
              <w:t>在整个战略方面，哈视奇是一家非常优秀的公司，我们在未来股权绑定的深度方面，也已经进行了深度交流。</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lang w:eastAsia="zh-CN"/>
              </w:rPr>
            </w:pPr>
            <w:r>
              <w:rPr>
                <w:rFonts w:hint="eastAsia"/>
                <w:b/>
                <w:bCs/>
                <w:sz w:val="21"/>
                <w:szCs w:val="21"/>
                <w:lang w:eastAsia="zh-CN"/>
              </w:rPr>
              <w:t>1</w:t>
            </w:r>
            <w:r>
              <w:rPr>
                <w:rFonts w:hint="eastAsia"/>
                <w:b/>
                <w:bCs/>
                <w:sz w:val="21"/>
                <w:szCs w:val="21"/>
                <w:lang w:val="en-US" w:eastAsia="zh-CN"/>
              </w:rPr>
              <w:t>4</w:t>
            </w:r>
            <w:r>
              <w:rPr>
                <w:rFonts w:hint="eastAsia"/>
                <w:b/>
                <w:bCs/>
                <w:sz w:val="21"/>
                <w:szCs w:val="21"/>
                <w:lang w:eastAsia="zh-CN"/>
              </w:rPr>
              <w:t>、VR游戏有没有能力本地化或汉化？技术有无壁垒？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val="0"/>
                <w:sz w:val="21"/>
                <w:szCs w:val="21"/>
                <w:lang w:eastAsia="zh-CN"/>
              </w:rPr>
            </w:pPr>
            <w:r>
              <w:rPr>
                <w:rFonts w:hint="eastAsia"/>
                <w:b w:val="0"/>
                <w:bCs w:val="0"/>
                <w:sz w:val="21"/>
                <w:szCs w:val="21"/>
                <w:lang w:eastAsia="zh-CN"/>
              </w:rPr>
              <w:t>答：本地化壁垒在于如何分享代码和文字，这个是本地化最难的部分，需要大量的时间人工做这个事情。目前易幻有成熟的工具在做本地化这个事情，会有一些帮助，只要工具能有效分辨代码和文字量就有办法做本地化。这是最难的部分，其次才是一些美术、人物设定这个部分。</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sz w:val="21"/>
                <w:szCs w:val="21"/>
                <w:lang w:eastAsia="zh-CN"/>
              </w:rPr>
            </w:pPr>
            <w:r>
              <w:rPr>
                <w:rFonts w:hint="eastAsia"/>
                <w:b/>
                <w:bCs/>
                <w:sz w:val="21"/>
                <w:szCs w:val="21"/>
                <w:lang w:eastAsia="zh-CN"/>
              </w:rPr>
              <w:t>1</w:t>
            </w:r>
            <w:r>
              <w:rPr>
                <w:rFonts w:hint="eastAsia"/>
                <w:b/>
                <w:bCs/>
                <w:sz w:val="21"/>
                <w:szCs w:val="21"/>
                <w:lang w:val="en-US" w:eastAsia="zh-CN"/>
              </w:rPr>
              <w:t>5</w:t>
            </w:r>
            <w:r>
              <w:rPr>
                <w:rFonts w:hint="eastAsia"/>
                <w:b/>
                <w:bCs/>
                <w:sz w:val="21"/>
                <w:szCs w:val="21"/>
                <w:lang w:eastAsia="zh-CN"/>
              </w:rPr>
              <w:t>、哈视奇有没有能力把引进的VR游戏与国内VR设备进行适配？适配有没有壁垒？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lang w:val="en-US" w:eastAsia="zh-CN"/>
              </w:rPr>
            </w:pPr>
            <w:r>
              <w:rPr>
                <w:rFonts w:hint="eastAsia"/>
                <w:b w:val="0"/>
                <w:bCs w:val="0"/>
                <w:sz w:val="21"/>
                <w:szCs w:val="21"/>
                <w:lang w:eastAsia="zh-CN"/>
              </w:rPr>
              <w:t>答：国内VR设备主流也就七八款。哈视奇目前产品适配做的是比较好的。VR设备有两种模式：1.基站定位2.由内而外定位3.分辨率，人最大的视场角是240度，目前做的最好的能做到170度，这三点是适配难点。但好在哈视奇在跑的产品，这三点适配都已经做到，在做适配这个方面是比较领先的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381"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bCs/>
                <w:iCs/>
                <w:sz w:val="24"/>
              </w:rPr>
            </w:pPr>
            <w:r>
              <w:rPr>
                <w:bCs/>
                <w:iCs/>
                <w:sz w:val="24"/>
              </w:rPr>
              <w:t>附件清单（如有）</w:t>
            </w:r>
          </w:p>
        </w:tc>
        <w:tc>
          <w:tcPr>
            <w:tcW w:w="7740" w:type="dxa"/>
            <w:tcBorders>
              <w:top w:val="single" w:color="auto" w:sz="4" w:space="0"/>
              <w:left w:val="single" w:color="auto" w:sz="4" w:space="0"/>
              <w:bottom w:val="single" w:color="auto" w:sz="4" w:space="0"/>
              <w:right w:val="single" w:color="auto" w:sz="4" w:space="0"/>
            </w:tcBorders>
            <w:vAlign w:val="center"/>
          </w:tcPr>
          <w:p>
            <w:pPr>
              <w:spacing w:line="480" w:lineRule="atLeast"/>
              <w:rPr>
                <w:bCs/>
                <w:iCs/>
                <w:sz w:val="24"/>
              </w:rPr>
            </w:pPr>
            <w:r>
              <w:rPr>
                <w:bCs/>
                <w:i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2381"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bCs/>
                <w:iCs/>
                <w:sz w:val="24"/>
              </w:rPr>
            </w:pPr>
            <w:r>
              <w:rPr>
                <w:bCs/>
                <w:iCs/>
                <w:sz w:val="24"/>
              </w:rPr>
              <w:t>日期</w:t>
            </w:r>
          </w:p>
        </w:tc>
        <w:tc>
          <w:tcPr>
            <w:tcW w:w="7740" w:type="dxa"/>
            <w:tcBorders>
              <w:top w:val="single" w:color="auto" w:sz="4" w:space="0"/>
              <w:left w:val="single" w:color="auto" w:sz="4" w:space="0"/>
              <w:bottom w:val="single" w:color="auto" w:sz="4" w:space="0"/>
              <w:right w:val="single" w:color="auto" w:sz="4" w:space="0"/>
            </w:tcBorders>
            <w:vAlign w:val="center"/>
          </w:tcPr>
          <w:p>
            <w:pPr>
              <w:spacing w:line="480" w:lineRule="atLeast"/>
              <w:rPr>
                <w:bCs/>
                <w:iCs/>
                <w:sz w:val="24"/>
              </w:rPr>
            </w:pPr>
            <w:r>
              <w:rPr>
                <w:bCs/>
                <w:iCs/>
                <w:sz w:val="24"/>
              </w:rPr>
              <w:t>2</w:t>
            </w:r>
            <w:r>
              <w:rPr>
                <w:rFonts w:hint="eastAsia"/>
                <w:bCs/>
                <w:iCs/>
                <w:sz w:val="24"/>
              </w:rPr>
              <w:t>020</w:t>
            </w:r>
            <w:r>
              <w:rPr>
                <w:bCs/>
                <w:iCs/>
                <w:sz w:val="24"/>
              </w:rPr>
              <w:t>年</w:t>
            </w:r>
            <w:r>
              <w:rPr>
                <w:rFonts w:hint="eastAsia"/>
                <w:bCs/>
                <w:iCs/>
                <w:sz w:val="24"/>
                <w:lang w:val="en-US" w:eastAsia="zh-CN"/>
              </w:rPr>
              <w:t>02</w:t>
            </w:r>
            <w:r>
              <w:rPr>
                <w:bCs/>
                <w:iCs/>
                <w:sz w:val="24"/>
              </w:rPr>
              <w:t>月</w:t>
            </w:r>
            <w:r>
              <w:rPr>
                <w:rFonts w:hint="eastAsia"/>
                <w:bCs/>
                <w:iCs/>
                <w:sz w:val="24"/>
                <w:lang w:val="en-US" w:eastAsia="zh-CN"/>
              </w:rPr>
              <w:t>25</w:t>
            </w:r>
            <w:r>
              <w:rPr>
                <w:bCs/>
                <w:iCs/>
                <w:sz w:val="24"/>
              </w:rPr>
              <w:t>日</w:t>
            </w: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5AB66"/>
    <w:multiLevelType w:val="singleLevel"/>
    <w:tmpl w:val="7D95AB6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8DB68A2"/>
    <w:rsid w:val="00102B58"/>
    <w:rsid w:val="0020710D"/>
    <w:rsid w:val="0045488B"/>
    <w:rsid w:val="0056670C"/>
    <w:rsid w:val="00BC00EE"/>
    <w:rsid w:val="00D840E3"/>
    <w:rsid w:val="054C6855"/>
    <w:rsid w:val="09942825"/>
    <w:rsid w:val="14623DCB"/>
    <w:rsid w:val="275F7EDE"/>
    <w:rsid w:val="356749E9"/>
    <w:rsid w:val="47DF0D1E"/>
    <w:rsid w:val="501947DB"/>
    <w:rsid w:val="57CE7058"/>
    <w:rsid w:val="58DB68A2"/>
    <w:rsid w:val="69086164"/>
    <w:rsid w:val="77451491"/>
    <w:rsid w:val="7A6C2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Mongolian Bait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321</Words>
  <Characters>1831</Characters>
  <Lines>15</Lines>
  <Paragraphs>4</Paragraphs>
  <TotalTime>49</TotalTime>
  <ScaleCrop>false</ScaleCrop>
  <LinksUpToDate>false</LinksUpToDate>
  <CharactersWithSpaces>2148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2020-01-13T07:09:00Z</dcterms:created>
  <dc:creator>wbf</dc:creator>
  <cp:lastModifiedBy>wbf</cp:lastModifiedBy>
  <dcterms:modified xsi:type="dcterms:W3CDTF">2020-02-26T04:22:20Z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