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E736" w14:textId="77777777" w:rsidR="00D3704D" w:rsidRPr="00220DE3" w:rsidRDefault="00D3704D" w:rsidP="0010706A">
      <w:pPr>
        <w:spacing w:beforeLines="50" w:before="156" w:afterLines="50" w:after="156" w:line="400" w:lineRule="exact"/>
        <w:rPr>
          <w:sz w:val="24"/>
        </w:rPr>
      </w:pPr>
      <w:r w:rsidRPr="00220DE3">
        <w:rPr>
          <w:sz w:val="24"/>
        </w:rPr>
        <w:t>证券代码：</w:t>
      </w:r>
      <w:r w:rsidRPr="00220DE3">
        <w:rPr>
          <w:sz w:val="24"/>
        </w:rPr>
        <w:t xml:space="preserve">300232                                </w:t>
      </w:r>
      <w:r w:rsidRPr="00220DE3">
        <w:rPr>
          <w:sz w:val="24"/>
        </w:rPr>
        <w:t>证券简称：洲明科技</w:t>
      </w:r>
      <w:r w:rsidRPr="00220DE3">
        <w:rPr>
          <w:sz w:val="24"/>
        </w:rPr>
        <w:t xml:space="preserve"> </w:t>
      </w:r>
    </w:p>
    <w:p w14:paraId="1017B2F3" w14:textId="77777777" w:rsidR="00D3704D" w:rsidRPr="00220DE3" w:rsidRDefault="00E83A63" w:rsidP="00E021E9">
      <w:pPr>
        <w:spacing w:beforeLines="100" w:before="312" w:afterLines="100" w:after="312" w:line="400" w:lineRule="exact"/>
        <w:jc w:val="center"/>
        <w:rPr>
          <w:b/>
          <w:sz w:val="32"/>
          <w:szCs w:val="32"/>
        </w:rPr>
      </w:pPr>
      <w:r w:rsidRPr="00220DE3">
        <w:rPr>
          <w:b/>
          <w:sz w:val="32"/>
          <w:szCs w:val="32"/>
        </w:rPr>
        <w:t>深圳市洲明科技股份有限公司投资者关系活动记录表</w:t>
      </w:r>
    </w:p>
    <w:p w14:paraId="7838CDD2" w14:textId="77777777" w:rsidR="00D3704D" w:rsidRPr="00220DE3" w:rsidRDefault="00D3704D" w:rsidP="00D3704D">
      <w:pPr>
        <w:spacing w:line="400" w:lineRule="exact"/>
        <w:rPr>
          <w:sz w:val="24"/>
        </w:rPr>
      </w:pPr>
      <w:r w:rsidRPr="00220DE3">
        <w:rPr>
          <w:sz w:val="24"/>
        </w:rPr>
        <w:t xml:space="preserve">                                                      </w:t>
      </w:r>
      <w:r w:rsidRPr="00220DE3">
        <w:rPr>
          <w:sz w:val="24"/>
        </w:rPr>
        <w:t>编号：</w:t>
      </w:r>
      <w:r w:rsidR="000B3E94">
        <w:rPr>
          <w:sz w:val="24"/>
        </w:rPr>
        <w:t>20</w:t>
      </w:r>
      <w:r w:rsidR="000B3E94" w:rsidRPr="00D271A4">
        <w:rPr>
          <w:sz w:val="24"/>
        </w:rPr>
        <w:t>20</w:t>
      </w:r>
      <w:r w:rsidR="006F3FA6" w:rsidRPr="00D271A4">
        <w:rPr>
          <w:sz w:val="24"/>
        </w:rPr>
        <w:t>-00</w:t>
      </w:r>
      <w:r w:rsidR="00D271A4" w:rsidRPr="00D271A4">
        <w:rPr>
          <w:sz w:val="24"/>
        </w:rPr>
        <w:t>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307"/>
        <w:gridCol w:w="3307"/>
      </w:tblGrid>
      <w:tr w:rsidR="00D3704D" w:rsidRPr="00220DE3" w14:paraId="73DDB294" w14:textId="77777777" w:rsidTr="00B7214F">
        <w:trPr>
          <w:trHeight w:val="2555"/>
        </w:trPr>
        <w:tc>
          <w:tcPr>
            <w:tcW w:w="1908" w:type="dxa"/>
          </w:tcPr>
          <w:p w14:paraId="363CDE50" w14:textId="77777777"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投资者关系活动类别</w:t>
            </w:r>
          </w:p>
          <w:p w14:paraId="582961A0" w14:textId="77777777"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14:paraId="46932AAA" w14:textId="77777777" w:rsidR="00D3704D" w:rsidRPr="00220DE3" w:rsidRDefault="00D271A4" w:rsidP="008004CB">
            <w:pPr>
              <w:spacing w:line="480" w:lineRule="atLeast"/>
              <w:rPr>
                <w:sz w:val="24"/>
              </w:rPr>
            </w:pPr>
            <w:r w:rsidRPr="00D271A4">
              <w:rPr>
                <w:sz w:val="24"/>
              </w:rPr>
              <w:t>■</w:t>
            </w:r>
            <w:r w:rsidR="00D3704D" w:rsidRPr="00220DE3">
              <w:rPr>
                <w:sz w:val="24"/>
              </w:rPr>
              <w:t>特定对象调研</w:t>
            </w:r>
            <w:r w:rsidR="00337761" w:rsidRPr="00220DE3">
              <w:rPr>
                <w:sz w:val="24"/>
              </w:rPr>
              <w:t xml:space="preserve">      </w:t>
            </w:r>
            <w:r w:rsidR="006F3FA6" w:rsidRPr="00220DE3">
              <w:rPr>
                <w:sz w:val="24"/>
              </w:rPr>
              <w:t xml:space="preserve">  </w:t>
            </w:r>
            <w:r w:rsidRPr="00220DE3">
              <w:rPr>
                <w:sz w:val="24"/>
              </w:rPr>
              <w:t>□</w:t>
            </w:r>
            <w:r w:rsidR="00D3704D" w:rsidRPr="00D271A4">
              <w:rPr>
                <w:sz w:val="24"/>
              </w:rPr>
              <w:t>分析师会议</w:t>
            </w:r>
          </w:p>
          <w:p w14:paraId="16D8990C" w14:textId="77777777" w:rsidR="00D3704D" w:rsidRPr="00220DE3" w:rsidRDefault="00655D0D" w:rsidP="008004CB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媒体采访</w:t>
            </w:r>
            <w:r w:rsidR="00D3704D" w:rsidRPr="00220DE3">
              <w:rPr>
                <w:sz w:val="24"/>
              </w:rPr>
              <w:t xml:space="preserve">            □</w:t>
            </w:r>
            <w:r w:rsidR="00D3704D" w:rsidRPr="00220DE3">
              <w:rPr>
                <w:sz w:val="24"/>
              </w:rPr>
              <w:t>利润说明会</w:t>
            </w:r>
          </w:p>
          <w:p w14:paraId="0E741A4F" w14:textId="77777777" w:rsidR="00D3704D" w:rsidRPr="00220DE3" w:rsidRDefault="00D3704D" w:rsidP="008004CB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Pr="00220DE3">
              <w:rPr>
                <w:sz w:val="24"/>
              </w:rPr>
              <w:t>新闻发布会</w:t>
            </w:r>
            <w:r w:rsidRPr="00220DE3">
              <w:rPr>
                <w:sz w:val="24"/>
              </w:rPr>
              <w:t xml:space="preserve">          □</w:t>
            </w:r>
            <w:r w:rsidRPr="00220DE3">
              <w:rPr>
                <w:sz w:val="24"/>
              </w:rPr>
              <w:t>路演活动</w:t>
            </w:r>
          </w:p>
          <w:p w14:paraId="1721FDFA" w14:textId="77777777" w:rsidR="00D3704D" w:rsidRPr="00220DE3" w:rsidRDefault="00BA2687" w:rsidP="008004CB"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现场参观</w:t>
            </w:r>
            <w:r w:rsidR="00D3704D" w:rsidRPr="00220DE3">
              <w:rPr>
                <w:sz w:val="24"/>
              </w:rPr>
              <w:tab/>
            </w:r>
          </w:p>
          <w:p w14:paraId="0E1918EB" w14:textId="77777777" w:rsidR="00D3704D" w:rsidRPr="00220DE3" w:rsidRDefault="00D271A4" w:rsidP="008004CB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 w:rsidRPr="00D271A4">
              <w:rPr>
                <w:sz w:val="24"/>
              </w:rPr>
              <w:t>■</w:t>
            </w:r>
            <w:r w:rsidR="00D3704D" w:rsidRPr="00220DE3">
              <w:rPr>
                <w:sz w:val="24"/>
              </w:rPr>
              <w:t>其他</w:t>
            </w:r>
            <w:r>
              <w:rPr>
                <w:rFonts w:hint="eastAsia"/>
                <w:sz w:val="24"/>
              </w:rPr>
              <w:t>（电话会议）</w:t>
            </w:r>
            <w:r w:rsidR="00D3704D" w:rsidRPr="00220DE3">
              <w:rPr>
                <w:sz w:val="24"/>
              </w:rPr>
              <w:t xml:space="preserve">  </w:t>
            </w:r>
          </w:p>
        </w:tc>
      </w:tr>
      <w:tr w:rsidR="008B460B" w:rsidRPr="00220DE3" w14:paraId="3ADF4ACF" w14:textId="77777777" w:rsidTr="00B7214F">
        <w:trPr>
          <w:trHeight w:val="957"/>
        </w:trPr>
        <w:tc>
          <w:tcPr>
            <w:tcW w:w="1908" w:type="dxa"/>
          </w:tcPr>
          <w:p w14:paraId="1B18D559" w14:textId="77777777" w:rsidR="008B460B" w:rsidRPr="00220DE3" w:rsidRDefault="008B460B" w:rsidP="004401A3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参与单位名称</w:t>
            </w:r>
          </w:p>
        </w:tc>
        <w:tc>
          <w:tcPr>
            <w:tcW w:w="3307" w:type="dxa"/>
            <w:tcBorders>
              <w:right w:val="nil"/>
            </w:tcBorders>
          </w:tcPr>
          <w:p w14:paraId="22BD7B4B" w14:textId="77777777" w:rsidR="000D77B3" w:rsidRDefault="00D271A4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国泰君安</w:t>
            </w:r>
            <w:r w:rsidR="009104A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证券：</w:t>
            </w:r>
            <w:r w:rsid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冯定成</w:t>
            </w:r>
          </w:p>
          <w:p w14:paraId="5A2FBC6B" w14:textId="77777777" w:rsidR="00CE0C91" w:rsidRDefault="009104A6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D17D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泓鸣资本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：黄雪雨</w:t>
            </w:r>
          </w:p>
          <w:p w14:paraId="745C3C58" w14:textId="77777777" w:rsidR="009104A6" w:rsidRDefault="00B7214F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中信证券</w:t>
            </w:r>
            <w:r w:rsidR="009104A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刘将超、</w:t>
            </w: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卢华权</w:t>
            </w:r>
          </w:p>
          <w:p w14:paraId="1183F641" w14:textId="77777777" w:rsidR="009104A6" w:rsidRDefault="00B7214F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中融基金</w:t>
            </w:r>
            <w:r w:rsidR="009104A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：</w:t>
            </w: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王可汗</w:t>
            </w:r>
          </w:p>
          <w:p w14:paraId="0E8ADFE0" w14:textId="77777777" w:rsidR="00B7214F" w:rsidRDefault="00B7214F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浦来德资产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：</w:t>
            </w: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郭瑞</w:t>
            </w:r>
          </w:p>
          <w:p w14:paraId="00BB5A10" w14:textId="77777777" w:rsidR="00B7214F" w:rsidRDefault="00B7214F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盘京投资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：</w:t>
            </w: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王莉</w:t>
            </w:r>
          </w:p>
          <w:p w14:paraId="2E7AC871" w14:textId="77777777" w:rsidR="00B7214F" w:rsidRPr="000D77B3" w:rsidRDefault="00B7214F" w:rsidP="00246516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东方证券：</w:t>
            </w: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江舟</w:t>
            </w:r>
          </w:p>
        </w:tc>
        <w:tc>
          <w:tcPr>
            <w:tcW w:w="3307" w:type="dxa"/>
            <w:tcBorders>
              <w:left w:val="nil"/>
            </w:tcBorders>
          </w:tcPr>
          <w:p w14:paraId="37686C79" w14:textId="77777777" w:rsidR="00CE0C91" w:rsidRDefault="00B7214F" w:rsidP="000D77B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熙山资本</w:t>
            </w:r>
            <w:r w:rsidR="009104A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：</w:t>
            </w: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张亮</w:t>
            </w:r>
          </w:p>
          <w:p w14:paraId="3C161FA2" w14:textId="77777777" w:rsidR="009104A6" w:rsidRDefault="00B7214F" w:rsidP="000D77B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中国人保资管</w:t>
            </w:r>
            <w:r w:rsidR="009104A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田加伟</w:t>
            </w:r>
          </w:p>
          <w:p w14:paraId="37C85887" w14:textId="77777777" w:rsidR="009104A6" w:rsidRDefault="00B7214F" w:rsidP="000D77B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诺德基金</w:t>
            </w:r>
            <w:r w:rsidR="009104A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：</w:t>
            </w: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孙小明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、朱红</w:t>
            </w:r>
          </w:p>
          <w:p w14:paraId="1BF9023F" w14:textId="77777777" w:rsidR="00B7214F" w:rsidRDefault="00B7214F" w:rsidP="000D77B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裕晋投资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：</w:t>
            </w: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张恒</w:t>
            </w:r>
          </w:p>
          <w:p w14:paraId="3AD7DE23" w14:textId="77777777" w:rsidR="00B7214F" w:rsidRDefault="00B7214F" w:rsidP="000D77B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源乘投资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：</w:t>
            </w: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曾尚</w:t>
            </w:r>
          </w:p>
          <w:p w14:paraId="0671C7D9" w14:textId="77777777" w:rsidR="00B7214F" w:rsidRDefault="00B7214F" w:rsidP="000D77B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榕树投资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：</w:t>
            </w:r>
            <w:r w:rsidRPr="00B7214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罗先波</w:t>
            </w:r>
          </w:p>
          <w:p w14:paraId="560C8F38" w14:textId="77777777" w:rsidR="00B7214F" w:rsidRPr="00CE0C91" w:rsidRDefault="00B7214F" w:rsidP="000D77B3">
            <w:pPr>
              <w:spacing w:line="480" w:lineRule="atLeast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3704D" w:rsidRPr="00220DE3" w14:paraId="00A60EDE" w14:textId="77777777" w:rsidTr="00B7214F">
        <w:tc>
          <w:tcPr>
            <w:tcW w:w="1908" w:type="dxa"/>
          </w:tcPr>
          <w:p w14:paraId="2345BD85" w14:textId="77777777"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时间</w:t>
            </w:r>
          </w:p>
        </w:tc>
        <w:tc>
          <w:tcPr>
            <w:tcW w:w="6614" w:type="dxa"/>
            <w:gridSpan w:val="2"/>
          </w:tcPr>
          <w:p w14:paraId="45845462" w14:textId="77777777" w:rsidR="00D3704D" w:rsidRPr="00220DE3" w:rsidRDefault="00D3704D" w:rsidP="006D1DCF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20</w:t>
            </w:r>
            <w:r w:rsidR="006D1DCF">
              <w:rPr>
                <w:sz w:val="24"/>
              </w:rPr>
              <w:t>20</w:t>
            </w:r>
            <w:r w:rsidRPr="00220DE3">
              <w:rPr>
                <w:sz w:val="24"/>
              </w:rPr>
              <w:t>年</w:t>
            </w:r>
            <w:r w:rsidR="006D1DCF">
              <w:rPr>
                <w:sz w:val="24"/>
              </w:rPr>
              <w:t>2</w:t>
            </w:r>
            <w:r w:rsidRPr="00220DE3">
              <w:rPr>
                <w:sz w:val="24"/>
              </w:rPr>
              <w:t>月</w:t>
            </w:r>
            <w:r w:rsidR="006D1DCF">
              <w:rPr>
                <w:rFonts w:hint="eastAsia"/>
                <w:sz w:val="24"/>
              </w:rPr>
              <w:t>2</w:t>
            </w:r>
            <w:r w:rsidR="00C30A6F">
              <w:rPr>
                <w:sz w:val="24"/>
              </w:rPr>
              <w:t>5</w:t>
            </w:r>
            <w:r w:rsidRPr="00220DE3">
              <w:rPr>
                <w:sz w:val="24"/>
              </w:rPr>
              <w:t>日</w:t>
            </w:r>
            <w:r w:rsidRPr="00220DE3">
              <w:rPr>
                <w:sz w:val="24"/>
              </w:rPr>
              <w:t xml:space="preserve"> </w:t>
            </w:r>
            <w:r w:rsidR="00E52E41" w:rsidRPr="00220DE3">
              <w:rPr>
                <w:sz w:val="24"/>
              </w:rPr>
              <w:t>1</w:t>
            </w:r>
            <w:r w:rsidR="006D1DCF">
              <w:rPr>
                <w:sz w:val="24"/>
              </w:rPr>
              <w:t>9</w:t>
            </w:r>
            <w:r w:rsidR="00EC1D56" w:rsidRPr="00220DE3">
              <w:rPr>
                <w:sz w:val="24"/>
              </w:rPr>
              <w:t>:</w:t>
            </w:r>
            <w:r w:rsidR="00C30A6F">
              <w:rPr>
                <w:sz w:val="24"/>
              </w:rPr>
              <w:t>0</w:t>
            </w:r>
            <w:r w:rsidR="00E52E41" w:rsidRPr="00220DE3">
              <w:rPr>
                <w:sz w:val="24"/>
              </w:rPr>
              <w:t>0</w:t>
            </w:r>
            <w:r w:rsidR="00EC1D56" w:rsidRPr="00220DE3">
              <w:rPr>
                <w:sz w:val="24"/>
              </w:rPr>
              <w:t>-</w:t>
            </w:r>
            <w:r w:rsidR="006D1DCF">
              <w:rPr>
                <w:sz w:val="24"/>
              </w:rPr>
              <w:t>20</w:t>
            </w:r>
            <w:r w:rsidR="00EC1D56" w:rsidRPr="00220DE3">
              <w:rPr>
                <w:sz w:val="24"/>
              </w:rPr>
              <w:t>:</w:t>
            </w:r>
            <w:r w:rsidR="006D1DCF">
              <w:rPr>
                <w:sz w:val="24"/>
              </w:rPr>
              <w:t>0</w:t>
            </w:r>
            <w:r w:rsidR="00EC1D56" w:rsidRPr="00220DE3">
              <w:rPr>
                <w:sz w:val="24"/>
              </w:rPr>
              <w:t>0</w:t>
            </w:r>
          </w:p>
        </w:tc>
      </w:tr>
      <w:tr w:rsidR="00D3704D" w:rsidRPr="00220DE3" w14:paraId="32B8C633" w14:textId="77777777" w:rsidTr="00B7214F">
        <w:trPr>
          <w:trHeight w:val="380"/>
        </w:trPr>
        <w:tc>
          <w:tcPr>
            <w:tcW w:w="1908" w:type="dxa"/>
          </w:tcPr>
          <w:p w14:paraId="7D951743" w14:textId="77777777"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地点</w:t>
            </w:r>
          </w:p>
        </w:tc>
        <w:tc>
          <w:tcPr>
            <w:tcW w:w="6614" w:type="dxa"/>
            <w:gridSpan w:val="2"/>
          </w:tcPr>
          <w:p w14:paraId="5BAA6385" w14:textId="77777777" w:rsidR="00D3704D" w:rsidRPr="00220DE3" w:rsidRDefault="006D1DCF" w:rsidP="00A66C38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电话会议</w:t>
            </w:r>
          </w:p>
        </w:tc>
      </w:tr>
      <w:tr w:rsidR="00D3704D" w:rsidRPr="00220DE3" w14:paraId="4D1DAA84" w14:textId="77777777" w:rsidTr="00B7214F">
        <w:tc>
          <w:tcPr>
            <w:tcW w:w="1908" w:type="dxa"/>
          </w:tcPr>
          <w:p w14:paraId="7598670B" w14:textId="77777777"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上市公司接待人员姓名</w:t>
            </w:r>
          </w:p>
        </w:tc>
        <w:tc>
          <w:tcPr>
            <w:tcW w:w="6614" w:type="dxa"/>
            <w:gridSpan w:val="2"/>
          </w:tcPr>
          <w:p w14:paraId="72B60D00" w14:textId="345E10B6" w:rsidR="002C6D5F" w:rsidRPr="00220DE3" w:rsidRDefault="006D1DCF" w:rsidP="006D1DCF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董事会秘书徐朋、</w:t>
            </w:r>
            <w:r w:rsidR="002114BA">
              <w:rPr>
                <w:rFonts w:hint="eastAsia"/>
                <w:sz w:val="24"/>
              </w:rPr>
              <w:t>财务总监胡艳、</w:t>
            </w:r>
            <w:r w:rsidR="00A052AB">
              <w:rPr>
                <w:rFonts w:hint="eastAsia"/>
                <w:sz w:val="24"/>
              </w:rPr>
              <w:t>销售</w:t>
            </w:r>
            <w:r w:rsidR="006A545F">
              <w:rPr>
                <w:rFonts w:hint="eastAsia"/>
                <w:sz w:val="24"/>
              </w:rPr>
              <w:t>总监</w:t>
            </w:r>
            <w:r w:rsidR="00A052AB">
              <w:rPr>
                <w:rFonts w:hint="eastAsia"/>
                <w:sz w:val="24"/>
              </w:rPr>
              <w:t>袁道仁、</w:t>
            </w:r>
            <w:r w:rsidR="002114BA">
              <w:rPr>
                <w:rFonts w:hint="eastAsia"/>
                <w:sz w:val="24"/>
              </w:rPr>
              <w:t>销售总监艾志华、</w:t>
            </w:r>
            <w:r>
              <w:rPr>
                <w:sz w:val="24"/>
              </w:rPr>
              <w:t>证券事务代表</w:t>
            </w:r>
            <w:r>
              <w:rPr>
                <w:rFonts w:hint="eastAsia"/>
                <w:sz w:val="24"/>
              </w:rPr>
              <w:t>陈偲</w:t>
            </w:r>
          </w:p>
        </w:tc>
      </w:tr>
      <w:tr w:rsidR="00D3704D" w:rsidRPr="00220DE3" w14:paraId="203E6EF3" w14:textId="77777777" w:rsidTr="00B7214F">
        <w:trPr>
          <w:trHeight w:val="699"/>
        </w:trPr>
        <w:tc>
          <w:tcPr>
            <w:tcW w:w="1908" w:type="dxa"/>
            <w:vAlign w:val="center"/>
          </w:tcPr>
          <w:p w14:paraId="06236AFD" w14:textId="77777777"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投资者关系活动主要内容介绍</w:t>
            </w:r>
          </w:p>
        </w:tc>
        <w:tc>
          <w:tcPr>
            <w:tcW w:w="6614" w:type="dxa"/>
            <w:gridSpan w:val="2"/>
            <w:vAlign w:val="center"/>
          </w:tcPr>
          <w:p w14:paraId="17CC2801" w14:textId="77777777" w:rsidR="00CE41C4" w:rsidRPr="00CE41C4" w:rsidRDefault="00CE41C4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本次投资者关系活动以</w:t>
            </w:r>
            <w:r w:rsid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电话</w:t>
            </w: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会议交流的方式进行。接待人员与</w:t>
            </w:r>
            <w:r w:rsid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投资</w:t>
            </w: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者进行了沟通交流，主要内容如下：</w:t>
            </w:r>
          </w:p>
          <w:p w14:paraId="0E277BC4" w14:textId="77777777" w:rsidR="00156372" w:rsidRPr="00CE0C91" w:rsidRDefault="00156372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E0C91">
              <w:rPr>
                <w:rFonts w:eastAsiaTheme="minorEastAsia"/>
                <w:color w:val="000000"/>
                <w:kern w:val="0"/>
                <w:sz w:val="24"/>
                <w:szCs w:val="24"/>
              </w:rPr>
              <w:t>一、</w:t>
            </w:r>
            <w:r w:rsidR="00AC558E" w:rsidRPr="00CE0C9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</w:t>
            </w:r>
            <w:r w:rsidR="00DD65FF" w:rsidRPr="00CE0C9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经营情况的</w:t>
            </w:r>
            <w:r w:rsidRPr="00CE0C91">
              <w:rPr>
                <w:rFonts w:eastAsiaTheme="minorEastAsia"/>
                <w:color w:val="000000"/>
                <w:kern w:val="0"/>
                <w:sz w:val="24"/>
                <w:szCs w:val="24"/>
              </w:rPr>
              <w:t>讨论分析</w:t>
            </w:r>
          </w:p>
          <w:p w14:paraId="1BC3DA08" w14:textId="77777777" w:rsidR="00156372" w:rsidRPr="00CE41C4" w:rsidRDefault="00156372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E41C4">
              <w:rPr>
                <w:rFonts w:eastAsiaTheme="minorEastAsia"/>
                <w:color w:val="000000"/>
                <w:kern w:val="0"/>
                <w:sz w:val="24"/>
                <w:szCs w:val="24"/>
              </w:rPr>
              <w:t>1</w:t>
            </w:r>
            <w:r w:rsidRPr="00CE41C4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502BD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="00502BD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年经营情况回顾</w:t>
            </w:r>
          </w:p>
          <w:p w14:paraId="439037DA" w14:textId="77777777" w:rsidR="00A332D4" w:rsidRDefault="005C6FF0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公司于近日发布了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业绩快报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 w:rsidR="001032A5">
              <w:rPr>
                <w:rFonts w:eastAsiaTheme="minorEastAsia"/>
                <w:color w:val="000000"/>
                <w:kern w:val="0"/>
                <w:sz w:val="24"/>
                <w:szCs w:val="24"/>
              </w:rPr>
              <w:t>019</w:t>
            </w:r>
            <w:r w:rsid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公司实现营业收入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56.44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亿元，同比增长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24.75%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；实现归母净利润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5.16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亿元，同比增长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25.08%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。公司业绩增长快速，尤其是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小间距产品及综合解决方案的品牌影响力及市场竞争力持续提升，</w:t>
            </w:r>
            <w:r w:rsidRPr="005C6FF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lastRenderedPageBreak/>
              <w:t>公司业务在专业显示、租赁显示、会议显示、体育显示、创意显示等细分领域多点开花。</w:t>
            </w:r>
          </w:p>
          <w:p w14:paraId="0EBB82F6" w14:textId="3EE46D71" w:rsidR="00AA32C7" w:rsidRDefault="001032A5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018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年相比，公司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019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年费用有所增长，一方面持续加大研发投入，另一方面可转债利息费用摊销较上年增加约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2,500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万元，汇率波动导致汇兑收益较上年减少约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2,300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万元，另外，公司和会计师事务所谨慎评估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2017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年几项收购产生的商誉，根据初步测算结果，商誉减值损失约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="00DE752E">
              <w:rPr>
                <w:rFonts w:eastAsiaTheme="minorEastAsia"/>
                <w:color w:val="000000"/>
                <w:kern w:val="0"/>
                <w:sz w:val="24"/>
                <w:szCs w:val="24"/>
              </w:rPr>
              <w:t>,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200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万元。以上的费用和商誉减值方面，对公司净利润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均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产生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了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一定影响。</w:t>
            </w:r>
            <w:r w:rsidR="00AA32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此外，</w:t>
            </w:r>
            <w:r w:rsidR="00AA32C7" w:rsidRPr="00AA32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杭州柏年智能光电子股份有限公司</w:t>
            </w:r>
            <w:r w:rsidR="00AA32C7" w:rsidRPr="00AA32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="00AA32C7" w:rsidRPr="00AA32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年度业绩补偿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（即业绩补偿方以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元人民币的对价向公司转让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15%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股份），</w:t>
            </w:r>
            <w:r w:rsidR="00AA32C7" w:rsidRPr="00AA32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对</w:t>
            </w:r>
            <w:r w:rsidR="00AA32C7" w:rsidRPr="00AA32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="00AA32C7" w:rsidRPr="00AA32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年度净利润产生正向影响，影响金额约为</w:t>
            </w:r>
            <w:r w:rsidR="00AA32C7" w:rsidRPr="00AA32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6,630</w:t>
            </w:r>
            <w:r w:rsidR="00AA32C7" w:rsidRPr="00AA32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万元。</w:t>
            </w:r>
          </w:p>
          <w:p w14:paraId="4A9BC5E6" w14:textId="77777777" w:rsidR="001032A5" w:rsidRDefault="00AA32C7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在</w:t>
            </w:r>
            <w:r w:rsidR="001032A5"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业务规模快速增长的同时，公司高度重视信用政策管理，现金流情况良好</w:t>
            </w:r>
            <w:r w:rsid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="001032A5"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</w:t>
            </w:r>
            <w:r w:rsidR="001032A5"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="001032A5"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年经营现金流预计可达</w:t>
            </w:r>
            <w:r w:rsidR="001032A5"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4.7</w:t>
            </w:r>
            <w:r w:rsidR="001032A5"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亿元，占净利润的比例</w:t>
            </w:r>
            <w:r w:rsidR="00095202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超过</w:t>
            </w:r>
            <w:r w:rsidR="001032A5"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90%</w:t>
            </w:r>
            <w:r w:rsidR="001032A5"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5503DAAD" w14:textId="77777777" w:rsidR="001032A5" w:rsidRDefault="001032A5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、“新冠肺炎”疫情对公司的影响</w:t>
            </w:r>
          </w:p>
          <w:p w14:paraId="0FE8FBB0" w14:textId="77777777" w:rsidR="001032A5" w:rsidRDefault="001032A5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月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号已经</w:t>
            </w:r>
            <w:r w:rsidR="004913F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开始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远程办公，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月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10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号正式复工，</w:t>
            </w:r>
            <w:r w:rsidR="004913F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目前，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集团各公司</w:t>
            </w:r>
            <w:r w:rsidR="001D406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均已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恢复正常办公和生产。</w:t>
            </w:r>
          </w:p>
          <w:p w14:paraId="780C446F" w14:textId="77777777" w:rsidR="001032A5" w:rsidRDefault="001032A5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通过这次疫情我们可以看到，目前</w:t>
            </w:r>
            <w:r w:rsidR="0050572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在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城市管理、应急救援方面还是存在很大的提升空间</w:t>
            </w:r>
            <w:r w:rsidR="0050572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。中长期来看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，城市的应急管理部门、城市数据中心、医疗系统、疾控系统，包括能源、水务、社区管理等民生领域</w:t>
            </w:r>
            <w:r w:rsidR="0050572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后续会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产生</w:t>
            </w:r>
            <w:r w:rsidR="0050572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较为明显的</w:t>
            </w:r>
            <w:r w:rsidRPr="001032A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信息化建设需求，这对公司来说是个发展机遇。</w:t>
            </w:r>
          </w:p>
          <w:p w14:paraId="09AA4AB1" w14:textId="77777777" w:rsidR="00DE365C" w:rsidRDefault="00DE365C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 w14:paraId="65001F39" w14:textId="77777777" w:rsidR="00DD65FF" w:rsidRPr="00CE0C91" w:rsidRDefault="00156372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E0C91">
              <w:rPr>
                <w:rFonts w:eastAsiaTheme="minorEastAsia"/>
                <w:color w:val="000000"/>
                <w:kern w:val="0"/>
                <w:sz w:val="24"/>
                <w:szCs w:val="24"/>
              </w:rPr>
              <w:t>二、</w:t>
            </w:r>
            <w:r w:rsidR="00DD65FF" w:rsidRPr="00CE0C9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投资者交流环节</w:t>
            </w:r>
          </w:p>
          <w:p w14:paraId="50BAAD04" w14:textId="24544419" w:rsidR="00156372" w:rsidRPr="00CE41C4" w:rsidRDefault="00DD65FF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</w:t>
            </w: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0B070D" w:rsidRPr="000B070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公司如何看待</w:t>
            </w:r>
            <w:r w:rsid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M</w:t>
            </w:r>
            <w:r w:rsidR="000B070D" w:rsidRPr="000B070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ini</w:t>
            </w:r>
            <w:r w:rsidR="004A6FCE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D1B65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="000B070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显示市场，如何进行布局</w:t>
            </w:r>
            <w:r w:rsidR="006608C3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？</w:t>
            </w:r>
          </w:p>
          <w:p w14:paraId="51AE1750" w14:textId="6B3D8519" w:rsidR="00FC68C1" w:rsidRDefault="00DD65FF" w:rsidP="00F562D3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回复：</w:t>
            </w:r>
            <w:r w:rsidR="004A6FCE" w:rsidRP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在</w:t>
            </w:r>
            <w:r w:rsidR="004A6FCE" w:rsidRP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 w:rsidR="004A6FCE" w:rsidRP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月</w:t>
            </w:r>
            <w:r w:rsidR="004A6FCE" w:rsidRP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14</w:t>
            </w:r>
            <w:r w:rsidR="004A6FCE" w:rsidRP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日刚刚结束的</w:t>
            </w:r>
            <w:r w:rsidR="004A6FCE" w:rsidRP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2020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</w:t>
            </w:r>
            <w:r w:rsidR="004A6FCE" w:rsidRP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荷兰</w:t>
            </w:r>
            <w:r w:rsidR="007748B8" w:rsidRP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ISE</w:t>
            </w:r>
            <w:r w:rsidR="004A6FCE" w:rsidRP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展上</w:t>
            </w:r>
            <w:r w:rsid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，众多国内厂商展示了最新的</w:t>
            </w:r>
            <w:r w:rsid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Mini</w:t>
            </w:r>
            <w:r w:rsidR="004A6FCE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LED</w:t>
            </w:r>
            <w:r w:rsid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和</w:t>
            </w:r>
            <w:r w:rsid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M</w:t>
            </w:r>
            <w:r w:rsidR="004A6FCE">
              <w:rPr>
                <w:rFonts w:eastAsiaTheme="minorEastAsia"/>
                <w:color w:val="000000"/>
                <w:kern w:val="0"/>
                <w:sz w:val="24"/>
                <w:szCs w:val="24"/>
              </w:rPr>
              <w:t>icro LED</w:t>
            </w:r>
            <w:r w:rsidR="004A6FC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产品</w:t>
            </w:r>
            <w:r w:rsid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这说明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M</w:t>
            </w:r>
            <w:r w:rsidR="002041E7">
              <w:rPr>
                <w:rFonts w:eastAsiaTheme="minorEastAsia"/>
                <w:color w:val="000000"/>
                <w:kern w:val="0"/>
                <w:sz w:val="24"/>
                <w:szCs w:val="24"/>
              </w:rPr>
              <w:t>ini LED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显示已经成为行业公认的发展方向。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洲明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也</w:t>
            </w:r>
            <w:r w:rsid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在该展会上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推出的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162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英寸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UMini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一体机和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4K UMini-LED</w:t>
            </w:r>
            <w:r w:rsidR="007748B8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0.9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lastRenderedPageBreak/>
              <w:t>示屏。洲明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的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M</w:t>
            </w:r>
            <w:r w:rsidR="002041E7">
              <w:rPr>
                <w:rFonts w:eastAsiaTheme="minorEastAsia"/>
                <w:color w:val="000000"/>
                <w:kern w:val="0"/>
                <w:sz w:val="24"/>
                <w:szCs w:val="24"/>
              </w:rPr>
              <w:t>iniled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产品采用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独有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的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UMini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技术</w:t>
            </w:r>
            <w:r w:rsid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具有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20000:1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的超高对比度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2000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尼特</w:t>
            </w:r>
            <w:r w:rsidR="002041E7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亮度</w:t>
            </w:r>
            <w:r w:rsidR="002041E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180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度宽广视角</w:t>
            </w:r>
            <w:r w:rsidR="00B3380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等领先的技术优势</w:t>
            </w:r>
            <w:r w:rsidR="007748B8" w:rsidRPr="007748B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="00B3380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目前</w:t>
            </w:r>
            <w:r w:rsidR="00FC68C1" w:rsidRPr="00FC68C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="00B3380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</w:t>
            </w:r>
            <w:r w:rsidR="003B471B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的</w:t>
            </w:r>
            <w:r w:rsidR="00B3380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M</w:t>
            </w:r>
            <w:r w:rsidR="00B33809">
              <w:rPr>
                <w:rFonts w:eastAsiaTheme="minorEastAsia"/>
                <w:color w:val="000000"/>
                <w:kern w:val="0"/>
                <w:sz w:val="24"/>
                <w:szCs w:val="24"/>
              </w:rPr>
              <w:t>ini LED</w:t>
            </w:r>
            <w:r w:rsidR="00B3380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产品均可量产，为未来走入</w:t>
            </w:r>
            <w:r w:rsidR="00FC68C1" w:rsidRPr="00FC68C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智慧控制室、</w:t>
            </w:r>
            <w:r w:rsidR="00B33809" w:rsidRPr="00FC68C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教育医疗屏、高端商业显示、</w:t>
            </w:r>
            <w:r w:rsidR="00FC68C1" w:rsidRPr="00FC68C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高清演播室、家庭影院</w:t>
            </w:r>
            <w:r w:rsidR="00B3380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等众多领域做好了充足准备</w:t>
            </w:r>
            <w:r w:rsidR="00FC68C1" w:rsidRPr="00FC68C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55DEC023" w14:textId="27287519" w:rsidR="00156372" w:rsidRPr="00CE41C4" w:rsidRDefault="00DD65FF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AF1AE9" w:rsidRPr="00AF1AE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超小间距的显示屏</w:t>
            </w:r>
            <w:r w:rsidR="00AF1AE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产品</w:t>
            </w:r>
            <w:r w:rsidR="00AF1AE9" w:rsidRPr="00AF1AE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是否具有市场前景</w:t>
            </w:r>
            <w:r w:rsidR="00E429F7" w:rsidRPr="00E429F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？</w:t>
            </w:r>
          </w:p>
          <w:p w14:paraId="3F84F5C9" w14:textId="31F459D9" w:rsidR="00B719E6" w:rsidRPr="00CF6A3C" w:rsidRDefault="00DD65FF" w:rsidP="00786820">
            <w:pPr>
              <w:spacing w:line="360" w:lineRule="auto"/>
              <w:ind w:firstLineChars="200" w:firstLine="480"/>
              <w:jc w:val="left"/>
              <w:rPr>
                <w:rFonts w:hAnsi="Arial"/>
                <w:sz w:val="24"/>
                <w:szCs w:val="24"/>
              </w:rPr>
            </w:pPr>
            <w:r w:rsidRPr="00786820">
              <w:rPr>
                <w:rFonts w:hAnsi="Arial" w:hint="eastAsia"/>
                <w:sz w:val="24"/>
                <w:szCs w:val="24"/>
              </w:rPr>
              <w:t>回复：</w:t>
            </w:r>
            <w:r w:rsidR="00AF1AE9">
              <w:rPr>
                <w:rFonts w:hAnsi="Arial" w:hint="eastAsia"/>
                <w:sz w:val="24"/>
                <w:szCs w:val="24"/>
              </w:rPr>
              <w:t>目前超小间距显示产品可能受制于供需</w:t>
            </w:r>
            <w:r w:rsidR="00185B07">
              <w:rPr>
                <w:rFonts w:hAnsi="Arial" w:hint="eastAsia"/>
                <w:sz w:val="24"/>
                <w:szCs w:val="24"/>
              </w:rPr>
              <w:t>等多方面因素</w:t>
            </w:r>
            <w:r w:rsidR="00AF1AE9">
              <w:rPr>
                <w:rFonts w:hAnsi="Arial" w:hint="eastAsia"/>
                <w:sz w:val="24"/>
                <w:szCs w:val="24"/>
              </w:rPr>
              <w:t>，目前</w:t>
            </w:r>
            <w:r w:rsidR="00185B07">
              <w:rPr>
                <w:rFonts w:hAnsi="Arial" w:hint="eastAsia"/>
                <w:sz w:val="24"/>
                <w:szCs w:val="24"/>
              </w:rPr>
              <w:t>尚</w:t>
            </w:r>
            <w:r w:rsidR="00AF1AE9">
              <w:rPr>
                <w:rFonts w:hAnsi="Arial" w:hint="eastAsia"/>
                <w:sz w:val="24"/>
                <w:szCs w:val="24"/>
              </w:rPr>
              <w:t>未放量，价格</w:t>
            </w:r>
            <w:r w:rsidR="002E2B9C">
              <w:rPr>
                <w:rFonts w:hAnsi="Arial" w:hint="eastAsia"/>
                <w:sz w:val="24"/>
                <w:szCs w:val="24"/>
              </w:rPr>
              <w:t>相对</w:t>
            </w:r>
            <w:r w:rsidR="00185B07">
              <w:rPr>
                <w:rFonts w:hAnsi="Arial" w:hint="eastAsia"/>
                <w:sz w:val="24"/>
                <w:szCs w:val="24"/>
              </w:rPr>
              <w:t>较高</w:t>
            </w:r>
            <w:r w:rsidR="00AF1AE9">
              <w:rPr>
                <w:rFonts w:hAnsi="Arial" w:hint="eastAsia"/>
                <w:sz w:val="24"/>
                <w:szCs w:val="24"/>
              </w:rPr>
              <w:t>。当</w:t>
            </w:r>
            <w:r w:rsidR="00185B07">
              <w:rPr>
                <w:rFonts w:hAnsi="Arial" w:hint="eastAsia"/>
                <w:sz w:val="24"/>
                <w:szCs w:val="24"/>
              </w:rPr>
              <w:t>技术进一步成熟，</w:t>
            </w:r>
            <w:r w:rsidR="00AF1AE9">
              <w:rPr>
                <w:rFonts w:hAnsi="Arial" w:hint="eastAsia"/>
                <w:sz w:val="24"/>
                <w:szCs w:val="24"/>
              </w:rPr>
              <w:t>量产达到一定阶段，</w:t>
            </w:r>
            <w:r w:rsidR="00185B07">
              <w:rPr>
                <w:rFonts w:hAnsi="Arial" w:hint="eastAsia"/>
                <w:sz w:val="24"/>
                <w:szCs w:val="24"/>
              </w:rPr>
              <w:t>更多的应用领域和市场空间</w:t>
            </w:r>
            <w:r w:rsidR="00AF1AE9">
              <w:rPr>
                <w:rFonts w:hAnsi="Arial" w:hint="eastAsia"/>
                <w:sz w:val="24"/>
                <w:szCs w:val="24"/>
              </w:rPr>
              <w:t>会</w:t>
            </w:r>
            <w:r w:rsidR="00185B07">
              <w:rPr>
                <w:rFonts w:hAnsi="Arial" w:hint="eastAsia"/>
                <w:sz w:val="24"/>
                <w:szCs w:val="24"/>
              </w:rPr>
              <w:t>被</w:t>
            </w:r>
            <w:r w:rsidR="00AF1AE9">
              <w:rPr>
                <w:rFonts w:hAnsi="Arial" w:hint="eastAsia"/>
                <w:sz w:val="24"/>
                <w:szCs w:val="24"/>
              </w:rPr>
              <w:t>打开</w:t>
            </w:r>
            <w:r w:rsidR="00064B6F" w:rsidRPr="00064B6F">
              <w:rPr>
                <w:rFonts w:hAnsi="Arial" w:hint="eastAsia"/>
                <w:sz w:val="24"/>
                <w:szCs w:val="24"/>
              </w:rPr>
              <w:t>。</w:t>
            </w:r>
            <w:r w:rsidR="00185B07">
              <w:rPr>
                <w:rFonts w:hAnsi="Arial" w:hint="eastAsia"/>
                <w:sz w:val="24"/>
                <w:szCs w:val="24"/>
              </w:rPr>
              <w:t>因此，在未来具有</w:t>
            </w:r>
            <w:r w:rsidR="00AF1AE9">
              <w:rPr>
                <w:rFonts w:hAnsi="Arial" w:hint="eastAsia"/>
                <w:sz w:val="24"/>
                <w:szCs w:val="24"/>
              </w:rPr>
              <w:t>量产</w:t>
            </w:r>
            <w:r w:rsidR="00185B07">
              <w:rPr>
                <w:rFonts w:hAnsi="Arial" w:hint="eastAsia"/>
                <w:sz w:val="24"/>
                <w:szCs w:val="24"/>
              </w:rPr>
              <w:t>能力的、</w:t>
            </w:r>
            <w:r w:rsidR="006F441E">
              <w:rPr>
                <w:rFonts w:hAnsi="Arial" w:hint="eastAsia"/>
                <w:sz w:val="24"/>
                <w:szCs w:val="24"/>
              </w:rPr>
              <w:t>具有供应链管理优势的、产品设计能力强的企业将拥有</w:t>
            </w:r>
            <w:r w:rsidR="004A6FCE">
              <w:rPr>
                <w:rFonts w:hAnsi="Arial" w:hint="eastAsia"/>
                <w:sz w:val="24"/>
                <w:szCs w:val="24"/>
              </w:rPr>
              <w:t>市场</w:t>
            </w:r>
            <w:r w:rsidR="00696ACC">
              <w:rPr>
                <w:rFonts w:hAnsi="Arial" w:hint="eastAsia"/>
                <w:sz w:val="24"/>
                <w:szCs w:val="24"/>
              </w:rPr>
              <w:t>竞争</w:t>
            </w:r>
            <w:r w:rsidR="006F441E">
              <w:rPr>
                <w:rFonts w:hAnsi="Arial" w:hint="eastAsia"/>
                <w:sz w:val="24"/>
                <w:szCs w:val="24"/>
              </w:rPr>
              <w:t>优势</w:t>
            </w:r>
            <w:r w:rsidR="00AF1AE9">
              <w:rPr>
                <w:rFonts w:hAnsi="Arial" w:hint="eastAsia"/>
                <w:sz w:val="24"/>
                <w:szCs w:val="24"/>
              </w:rPr>
              <w:t>。</w:t>
            </w:r>
          </w:p>
          <w:p w14:paraId="6AD5F031" w14:textId="77777777" w:rsidR="00CB63F6" w:rsidRPr="00EA6D71" w:rsidRDefault="00F94EA6" w:rsidP="00CB63F6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="00786820" w:rsidRPr="00EA6D7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D53CE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公司在前海中标了智慧路灯项目，</w:t>
            </w:r>
            <w:r w:rsidR="00B1486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是否可以介绍一下智慧路灯目前的行业情况和公司布局情况</w:t>
            </w:r>
            <w:r w:rsidR="00EA6D71" w:rsidRPr="00EA6D7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？</w:t>
            </w:r>
          </w:p>
          <w:p w14:paraId="0ADE2CD3" w14:textId="749A01A6" w:rsidR="007D1B65" w:rsidRDefault="002C6BD9" w:rsidP="009B65E9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回复：</w:t>
            </w:r>
            <w:r w:rsidR="007D1B65"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智慧路灯作为集成各种信息设备技术创新复合应用的设备，具备智慧照明、</w:t>
            </w:r>
            <w:r w:rsidR="007D1B65"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WIFI</w:t>
            </w:r>
            <w:r w:rsidR="007D1B65"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热点、</w:t>
            </w:r>
            <w:r w:rsidR="007D1B65"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5G</w:t>
            </w:r>
            <w:r w:rsidR="007D1B65"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微基站、安防及道路智慧监控、信息发布及信息交互等多种功能，集众多城市信息数据的采集、处理、展示为一体，是智慧城市建设的重要切入口。</w:t>
            </w:r>
          </w:p>
          <w:p w14:paraId="56F5CAC9" w14:textId="5C475C7E" w:rsidR="00A64FC5" w:rsidRPr="002C6BD9" w:rsidRDefault="007D1B65" w:rsidP="00A64FC5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</w:t>
            </w: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8</w:t>
            </w: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月，公司</w:t>
            </w:r>
            <w:r w:rsidR="009056E3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中标</w:t>
            </w: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深圳前湾一路智慧路灯建设项目将在拆除</w:t>
            </w:r>
            <w:r w:rsidR="009056E3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原</w:t>
            </w: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有路灯灯杆的基础上，新建约</w:t>
            </w: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135</w:t>
            </w: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根智慧路灯并挂载无线设备、环境监测设备、高清摄像头、物联网关等多种智慧硬件，后台配置相应网络、服务器及存储设备，</w:t>
            </w:r>
            <w:r w:rsidR="009056E3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成为</w:t>
            </w: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</w:t>
            </w: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5G</w:t>
            </w: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智慧路灯规模化应用的</w:t>
            </w:r>
            <w:r w:rsidR="009056E3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重要标杆项目</w:t>
            </w:r>
            <w:r w:rsidRPr="007D1B6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="00D53CE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目前公司主要</w:t>
            </w:r>
            <w:r w:rsidR="00B1486F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以</w:t>
            </w:r>
            <w:r w:rsidR="00D53CE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招投标的方式参与全国的智慧路灯项目，现阶段已经有明显的智慧路灯项目需求涌现，</w:t>
            </w:r>
            <w:r w:rsidR="009056E3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例如</w:t>
            </w:r>
            <w:r w:rsidR="00D53CE5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深圳、广州、青岛、郑州等城市都有项目在招投标或施工。</w:t>
            </w:r>
          </w:p>
          <w:p w14:paraId="2E71729D" w14:textId="77777777" w:rsidR="00EB602D" w:rsidRPr="00EB602D" w:rsidRDefault="00EB602D" w:rsidP="00C25FC1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 w14:paraId="5146B299" w14:textId="77B1311F" w:rsidR="00D3704D" w:rsidRPr="00CE41C4" w:rsidRDefault="009B65E9" w:rsidP="009B65E9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电话会议沟通</w:t>
            </w:r>
            <w:r w:rsidR="00D3704D" w:rsidRPr="00CE41C4">
              <w:rPr>
                <w:rFonts w:eastAsiaTheme="minorEastAsia"/>
                <w:color w:val="000000"/>
                <w:kern w:val="0"/>
                <w:sz w:val="24"/>
                <w:szCs w:val="24"/>
              </w:rPr>
              <w:t>过程中，公司接待人员与投资者进行了充分的交流与沟通，严格按照有关制度规定，没有出现未公开</w:t>
            </w:r>
            <w:r w:rsidR="00D3704D" w:rsidRPr="00CE41C4">
              <w:rPr>
                <w:rFonts w:eastAsiaTheme="minorEastAsia"/>
                <w:color w:val="000000"/>
                <w:kern w:val="0"/>
                <w:sz w:val="24"/>
                <w:szCs w:val="24"/>
              </w:rPr>
              <w:lastRenderedPageBreak/>
              <w:t>重大信息泄露等情况</w:t>
            </w:r>
            <w:bookmarkStart w:id="0" w:name="_GoBack"/>
            <w:bookmarkEnd w:id="0"/>
            <w:r w:rsidR="00D3704D" w:rsidRPr="00CE41C4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D3704D" w:rsidRPr="00220DE3" w14:paraId="5F2F7C04" w14:textId="77777777" w:rsidTr="00B7214F">
        <w:tc>
          <w:tcPr>
            <w:tcW w:w="1908" w:type="dxa"/>
            <w:vAlign w:val="center"/>
          </w:tcPr>
          <w:p w14:paraId="1633322D" w14:textId="77777777"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gridSpan w:val="2"/>
          </w:tcPr>
          <w:p w14:paraId="4518B047" w14:textId="77777777" w:rsidR="00D3704D" w:rsidRPr="00220DE3" w:rsidRDefault="00D3704D" w:rsidP="008004CB">
            <w:pPr>
              <w:spacing w:line="480" w:lineRule="atLeast"/>
              <w:rPr>
                <w:sz w:val="24"/>
                <w:szCs w:val="24"/>
              </w:rPr>
            </w:pPr>
            <w:r w:rsidRPr="00220DE3">
              <w:rPr>
                <w:sz w:val="24"/>
                <w:szCs w:val="24"/>
              </w:rPr>
              <w:t>无</w:t>
            </w:r>
          </w:p>
        </w:tc>
      </w:tr>
      <w:tr w:rsidR="00D3704D" w:rsidRPr="00220DE3" w14:paraId="2D8316B2" w14:textId="77777777" w:rsidTr="00B7214F">
        <w:tc>
          <w:tcPr>
            <w:tcW w:w="1908" w:type="dxa"/>
            <w:vAlign w:val="center"/>
          </w:tcPr>
          <w:p w14:paraId="3BB598B2" w14:textId="77777777"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日期</w:t>
            </w:r>
          </w:p>
        </w:tc>
        <w:tc>
          <w:tcPr>
            <w:tcW w:w="6614" w:type="dxa"/>
            <w:gridSpan w:val="2"/>
          </w:tcPr>
          <w:p w14:paraId="40AFA614" w14:textId="01FBD5F5" w:rsidR="00D3704D" w:rsidRPr="00220DE3" w:rsidRDefault="00D3704D" w:rsidP="00843B25">
            <w:pPr>
              <w:spacing w:line="480" w:lineRule="atLeast"/>
              <w:rPr>
                <w:sz w:val="24"/>
                <w:szCs w:val="24"/>
              </w:rPr>
            </w:pPr>
            <w:r w:rsidRPr="00220DE3">
              <w:rPr>
                <w:sz w:val="24"/>
                <w:szCs w:val="24"/>
              </w:rPr>
              <w:t>20</w:t>
            </w:r>
            <w:r w:rsidR="00843B25">
              <w:rPr>
                <w:sz w:val="24"/>
                <w:szCs w:val="24"/>
              </w:rPr>
              <w:t>20</w:t>
            </w:r>
            <w:r w:rsidRPr="00220DE3">
              <w:rPr>
                <w:sz w:val="24"/>
                <w:szCs w:val="24"/>
              </w:rPr>
              <w:t>年</w:t>
            </w:r>
            <w:r w:rsidR="00843B25">
              <w:rPr>
                <w:sz w:val="24"/>
                <w:szCs w:val="24"/>
              </w:rPr>
              <w:t>2</w:t>
            </w:r>
            <w:r w:rsidRPr="00220DE3">
              <w:rPr>
                <w:sz w:val="24"/>
                <w:szCs w:val="24"/>
              </w:rPr>
              <w:t>月</w:t>
            </w:r>
            <w:r w:rsidR="00843B25">
              <w:rPr>
                <w:rFonts w:hint="eastAsia"/>
                <w:sz w:val="24"/>
                <w:szCs w:val="24"/>
              </w:rPr>
              <w:t>2</w:t>
            </w:r>
            <w:r w:rsidR="00431994">
              <w:rPr>
                <w:sz w:val="24"/>
                <w:szCs w:val="24"/>
              </w:rPr>
              <w:t>6</w:t>
            </w:r>
            <w:r w:rsidRPr="00220DE3">
              <w:rPr>
                <w:sz w:val="24"/>
                <w:szCs w:val="24"/>
              </w:rPr>
              <w:t>日</w:t>
            </w:r>
          </w:p>
        </w:tc>
      </w:tr>
    </w:tbl>
    <w:p w14:paraId="190A84CE" w14:textId="77777777" w:rsidR="00E80235" w:rsidRPr="00220DE3" w:rsidRDefault="00E80235"/>
    <w:sectPr w:rsidR="00E80235" w:rsidRPr="00220DE3" w:rsidSect="007A2E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3DC6" w14:textId="77777777" w:rsidR="00F6651C" w:rsidRDefault="00F6651C" w:rsidP="00D3704D">
      <w:r>
        <w:separator/>
      </w:r>
    </w:p>
  </w:endnote>
  <w:endnote w:type="continuationSeparator" w:id="0">
    <w:p w14:paraId="6B91D4EF" w14:textId="77777777" w:rsidR="00F6651C" w:rsidRDefault="00F6651C" w:rsidP="00D3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9DD91" w14:textId="77777777" w:rsidR="00F6651C" w:rsidRDefault="00F6651C" w:rsidP="00D3704D">
      <w:r>
        <w:separator/>
      </w:r>
    </w:p>
  </w:footnote>
  <w:footnote w:type="continuationSeparator" w:id="0">
    <w:p w14:paraId="347ED951" w14:textId="77777777" w:rsidR="00F6651C" w:rsidRDefault="00F6651C" w:rsidP="00D3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4D"/>
    <w:rsid w:val="00000403"/>
    <w:rsid w:val="00011170"/>
    <w:rsid w:val="0001134B"/>
    <w:rsid w:val="0001351F"/>
    <w:rsid w:val="00016D7C"/>
    <w:rsid w:val="00030991"/>
    <w:rsid w:val="00037507"/>
    <w:rsid w:val="00041008"/>
    <w:rsid w:val="00041BD6"/>
    <w:rsid w:val="00045A41"/>
    <w:rsid w:val="0005695E"/>
    <w:rsid w:val="0005713D"/>
    <w:rsid w:val="000649C3"/>
    <w:rsid w:val="00064B6F"/>
    <w:rsid w:val="000846EC"/>
    <w:rsid w:val="0009257F"/>
    <w:rsid w:val="00095202"/>
    <w:rsid w:val="000963FF"/>
    <w:rsid w:val="00096BE5"/>
    <w:rsid w:val="000A0D04"/>
    <w:rsid w:val="000B070D"/>
    <w:rsid w:val="000B3E94"/>
    <w:rsid w:val="000B65DE"/>
    <w:rsid w:val="000D0E7C"/>
    <w:rsid w:val="000D77B3"/>
    <w:rsid w:val="000E00A9"/>
    <w:rsid w:val="000E2133"/>
    <w:rsid w:val="000E453E"/>
    <w:rsid w:val="000F44A9"/>
    <w:rsid w:val="00100FB7"/>
    <w:rsid w:val="001032A5"/>
    <w:rsid w:val="0010706A"/>
    <w:rsid w:val="00116399"/>
    <w:rsid w:val="00120749"/>
    <w:rsid w:val="00122C12"/>
    <w:rsid w:val="001254C0"/>
    <w:rsid w:val="00136249"/>
    <w:rsid w:val="00136A3B"/>
    <w:rsid w:val="00140353"/>
    <w:rsid w:val="0014058E"/>
    <w:rsid w:val="00140ECE"/>
    <w:rsid w:val="0014748C"/>
    <w:rsid w:val="00150158"/>
    <w:rsid w:val="00156372"/>
    <w:rsid w:val="00157245"/>
    <w:rsid w:val="00163FC5"/>
    <w:rsid w:val="0018028C"/>
    <w:rsid w:val="001828EB"/>
    <w:rsid w:val="00185B07"/>
    <w:rsid w:val="00190C9D"/>
    <w:rsid w:val="00191DBE"/>
    <w:rsid w:val="001A5A36"/>
    <w:rsid w:val="001C6DC4"/>
    <w:rsid w:val="001D2202"/>
    <w:rsid w:val="001D4069"/>
    <w:rsid w:val="001D7175"/>
    <w:rsid w:val="001F59A5"/>
    <w:rsid w:val="001F67AC"/>
    <w:rsid w:val="002041E7"/>
    <w:rsid w:val="002114BA"/>
    <w:rsid w:val="002137E2"/>
    <w:rsid w:val="00213EFD"/>
    <w:rsid w:val="00216373"/>
    <w:rsid w:val="00220DE3"/>
    <w:rsid w:val="002264AA"/>
    <w:rsid w:val="0023289C"/>
    <w:rsid w:val="00241552"/>
    <w:rsid w:val="00241ED6"/>
    <w:rsid w:val="00245FFF"/>
    <w:rsid w:val="00246516"/>
    <w:rsid w:val="00256CBC"/>
    <w:rsid w:val="002633B7"/>
    <w:rsid w:val="00271450"/>
    <w:rsid w:val="00272813"/>
    <w:rsid w:val="00281C82"/>
    <w:rsid w:val="002910E9"/>
    <w:rsid w:val="002932A1"/>
    <w:rsid w:val="002A5EDA"/>
    <w:rsid w:val="002C09AA"/>
    <w:rsid w:val="002C249C"/>
    <w:rsid w:val="002C6BD9"/>
    <w:rsid w:val="002C6D5F"/>
    <w:rsid w:val="002D5AAD"/>
    <w:rsid w:val="002E2B9C"/>
    <w:rsid w:val="0030621B"/>
    <w:rsid w:val="00337761"/>
    <w:rsid w:val="00341941"/>
    <w:rsid w:val="003448C3"/>
    <w:rsid w:val="00366D14"/>
    <w:rsid w:val="00370191"/>
    <w:rsid w:val="00370EE6"/>
    <w:rsid w:val="00394185"/>
    <w:rsid w:val="003B471B"/>
    <w:rsid w:val="003C23EA"/>
    <w:rsid w:val="003D0B0D"/>
    <w:rsid w:val="003D2F62"/>
    <w:rsid w:val="003E3714"/>
    <w:rsid w:val="003E4B15"/>
    <w:rsid w:val="003E682F"/>
    <w:rsid w:val="003E6CF9"/>
    <w:rsid w:val="003F018A"/>
    <w:rsid w:val="003F25B2"/>
    <w:rsid w:val="0040131B"/>
    <w:rsid w:val="00407B97"/>
    <w:rsid w:val="00414FA4"/>
    <w:rsid w:val="00416724"/>
    <w:rsid w:val="00421CAC"/>
    <w:rsid w:val="00422D27"/>
    <w:rsid w:val="00431994"/>
    <w:rsid w:val="004401A3"/>
    <w:rsid w:val="004422C1"/>
    <w:rsid w:val="0044659F"/>
    <w:rsid w:val="004511AD"/>
    <w:rsid w:val="0045503A"/>
    <w:rsid w:val="0046364D"/>
    <w:rsid w:val="00474CEB"/>
    <w:rsid w:val="004824C0"/>
    <w:rsid w:val="004913F6"/>
    <w:rsid w:val="004A0EBC"/>
    <w:rsid w:val="004A6FCE"/>
    <w:rsid w:val="004B1809"/>
    <w:rsid w:val="004C4573"/>
    <w:rsid w:val="004F3751"/>
    <w:rsid w:val="00502BDD"/>
    <w:rsid w:val="00502D46"/>
    <w:rsid w:val="00505720"/>
    <w:rsid w:val="00511DA7"/>
    <w:rsid w:val="00527737"/>
    <w:rsid w:val="005277C8"/>
    <w:rsid w:val="005341CB"/>
    <w:rsid w:val="00573BB8"/>
    <w:rsid w:val="005743AA"/>
    <w:rsid w:val="005877C9"/>
    <w:rsid w:val="005A6924"/>
    <w:rsid w:val="005B4722"/>
    <w:rsid w:val="005B5582"/>
    <w:rsid w:val="005C1B38"/>
    <w:rsid w:val="005C59DF"/>
    <w:rsid w:val="005C6FF0"/>
    <w:rsid w:val="005D1818"/>
    <w:rsid w:val="005E0983"/>
    <w:rsid w:val="005E11B8"/>
    <w:rsid w:val="00605464"/>
    <w:rsid w:val="00605D21"/>
    <w:rsid w:val="00610675"/>
    <w:rsid w:val="00620656"/>
    <w:rsid w:val="00632814"/>
    <w:rsid w:val="0064436C"/>
    <w:rsid w:val="00655D0D"/>
    <w:rsid w:val="006608C3"/>
    <w:rsid w:val="00686726"/>
    <w:rsid w:val="00691AD0"/>
    <w:rsid w:val="00696ACC"/>
    <w:rsid w:val="006A545F"/>
    <w:rsid w:val="006B352C"/>
    <w:rsid w:val="006B6CA2"/>
    <w:rsid w:val="006C23DE"/>
    <w:rsid w:val="006D1DCF"/>
    <w:rsid w:val="006D42A9"/>
    <w:rsid w:val="006D59F1"/>
    <w:rsid w:val="006E18AA"/>
    <w:rsid w:val="006F05CE"/>
    <w:rsid w:val="006F3FA6"/>
    <w:rsid w:val="006F441E"/>
    <w:rsid w:val="0070033E"/>
    <w:rsid w:val="00716E3C"/>
    <w:rsid w:val="00727C04"/>
    <w:rsid w:val="00732DE7"/>
    <w:rsid w:val="007452C5"/>
    <w:rsid w:val="0076447D"/>
    <w:rsid w:val="007748B8"/>
    <w:rsid w:val="00780261"/>
    <w:rsid w:val="00781F2C"/>
    <w:rsid w:val="00786820"/>
    <w:rsid w:val="0079782B"/>
    <w:rsid w:val="007B23C7"/>
    <w:rsid w:val="007B76EC"/>
    <w:rsid w:val="007D1609"/>
    <w:rsid w:val="007D1B65"/>
    <w:rsid w:val="007E49F6"/>
    <w:rsid w:val="007E77A7"/>
    <w:rsid w:val="008063AC"/>
    <w:rsid w:val="00812B86"/>
    <w:rsid w:val="00820EE8"/>
    <w:rsid w:val="00822259"/>
    <w:rsid w:val="00825D5E"/>
    <w:rsid w:val="008313C4"/>
    <w:rsid w:val="00834958"/>
    <w:rsid w:val="00834CFC"/>
    <w:rsid w:val="00837898"/>
    <w:rsid w:val="00843B25"/>
    <w:rsid w:val="00847AFF"/>
    <w:rsid w:val="00871A26"/>
    <w:rsid w:val="00875A22"/>
    <w:rsid w:val="00881D9B"/>
    <w:rsid w:val="008820C8"/>
    <w:rsid w:val="00883D42"/>
    <w:rsid w:val="008B17F9"/>
    <w:rsid w:val="008B34AF"/>
    <w:rsid w:val="008B460B"/>
    <w:rsid w:val="008C42B9"/>
    <w:rsid w:val="008C5BE5"/>
    <w:rsid w:val="008D2535"/>
    <w:rsid w:val="008D6A53"/>
    <w:rsid w:val="008E1538"/>
    <w:rsid w:val="008E2BFB"/>
    <w:rsid w:val="008E4409"/>
    <w:rsid w:val="008E76FF"/>
    <w:rsid w:val="009027BF"/>
    <w:rsid w:val="009056E3"/>
    <w:rsid w:val="00910184"/>
    <w:rsid w:val="009104A6"/>
    <w:rsid w:val="009112C5"/>
    <w:rsid w:val="00920444"/>
    <w:rsid w:val="00932A6C"/>
    <w:rsid w:val="00935572"/>
    <w:rsid w:val="00941380"/>
    <w:rsid w:val="00943E94"/>
    <w:rsid w:val="00953F92"/>
    <w:rsid w:val="0095658F"/>
    <w:rsid w:val="0095733F"/>
    <w:rsid w:val="00965D96"/>
    <w:rsid w:val="00975972"/>
    <w:rsid w:val="009B1061"/>
    <w:rsid w:val="009B448C"/>
    <w:rsid w:val="009B65E9"/>
    <w:rsid w:val="009C0B5A"/>
    <w:rsid w:val="009C3F2C"/>
    <w:rsid w:val="009C50BB"/>
    <w:rsid w:val="009D0B5E"/>
    <w:rsid w:val="009D11B8"/>
    <w:rsid w:val="009D5F85"/>
    <w:rsid w:val="009E7206"/>
    <w:rsid w:val="00A052AB"/>
    <w:rsid w:val="00A11C23"/>
    <w:rsid w:val="00A14371"/>
    <w:rsid w:val="00A30CC8"/>
    <w:rsid w:val="00A32FD9"/>
    <w:rsid w:val="00A332D4"/>
    <w:rsid w:val="00A427DE"/>
    <w:rsid w:val="00A42A03"/>
    <w:rsid w:val="00A43A8D"/>
    <w:rsid w:val="00A46C09"/>
    <w:rsid w:val="00A553FA"/>
    <w:rsid w:val="00A64FC5"/>
    <w:rsid w:val="00A66C38"/>
    <w:rsid w:val="00A7584E"/>
    <w:rsid w:val="00A84E9D"/>
    <w:rsid w:val="00A92AD4"/>
    <w:rsid w:val="00AA32C7"/>
    <w:rsid w:val="00AB3554"/>
    <w:rsid w:val="00AB6086"/>
    <w:rsid w:val="00AC558E"/>
    <w:rsid w:val="00AD4C75"/>
    <w:rsid w:val="00AE32ED"/>
    <w:rsid w:val="00AE5625"/>
    <w:rsid w:val="00AE7FF6"/>
    <w:rsid w:val="00AF1AE9"/>
    <w:rsid w:val="00B00CDE"/>
    <w:rsid w:val="00B0171A"/>
    <w:rsid w:val="00B11A28"/>
    <w:rsid w:val="00B123D8"/>
    <w:rsid w:val="00B1486F"/>
    <w:rsid w:val="00B246C1"/>
    <w:rsid w:val="00B33809"/>
    <w:rsid w:val="00B37BD0"/>
    <w:rsid w:val="00B37DDB"/>
    <w:rsid w:val="00B40F71"/>
    <w:rsid w:val="00B52489"/>
    <w:rsid w:val="00B559A3"/>
    <w:rsid w:val="00B719E6"/>
    <w:rsid w:val="00B71A72"/>
    <w:rsid w:val="00B7214F"/>
    <w:rsid w:val="00B83AF6"/>
    <w:rsid w:val="00B85DA8"/>
    <w:rsid w:val="00B87802"/>
    <w:rsid w:val="00B90BC3"/>
    <w:rsid w:val="00BA2687"/>
    <w:rsid w:val="00BB7D88"/>
    <w:rsid w:val="00BC7406"/>
    <w:rsid w:val="00BE0453"/>
    <w:rsid w:val="00BE5444"/>
    <w:rsid w:val="00C03B2E"/>
    <w:rsid w:val="00C15EB7"/>
    <w:rsid w:val="00C1762C"/>
    <w:rsid w:val="00C24E17"/>
    <w:rsid w:val="00C25D36"/>
    <w:rsid w:val="00C25FC1"/>
    <w:rsid w:val="00C30A6F"/>
    <w:rsid w:val="00C30B8F"/>
    <w:rsid w:val="00C35433"/>
    <w:rsid w:val="00C60FC4"/>
    <w:rsid w:val="00C61366"/>
    <w:rsid w:val="00C63BEA"/>
    <w:rsid w:val="00C64189"/>
    <w:rsid w:val="00C65F35"/>
    <w:rsid w:val="00CA6204"/>
    <w:rsid w:val="00CA774D"/>
    <w:rsid w:val="00CB63F6"/>
    <w:rsid w:val="00CD03F9"/>
    <w:rsid w:val="00CE0281"/>
    <w:rsid w:val="00CE0C91"/>
    <w:rsid w:val="00CE3A25"/>
    <w:rsid w:val="00CE3BE3"/>
    <w:rsid w:val="00CE41C4"/>
    <w:rsid w:val="00CF0546"/>
    <w:rsid w:val="00CF6A3C"/>
    <w:rsid w:val="00D16784"/>
    <w:rsid w:val="00D20834"/>
    <w:rsid w:val="00D21866"/>
    <w:rsid w:val="00D271A4"/>
    <w:rsid w:val="00D3704D"/>
    <w:rsid w:val="00D44241"/>
    <w:rsid w:val="00D44614"/>
    <w:rsid w:val="00D51411"/>
    <w:rsid w:val="00D53CE5"/>
    <w:rsid w:val="00D53D6C"/>
    <w:rsid w:val="00D57ACB"/>
    <w:rsid w:val="00D66C56"/>
    <w:rsid w:val="00D8507F"/>
    <w:rsid w:val="00D871E6"/>
    <w:rsid w:val="00D934AE"/>
    <w:rsid w:val="00DA2DE9"/>
    <w:rsid w:val="00DB0B87"/>
    <w:rsid w:val="00DC3E35"/>
    <w:rsid w:val="00DD65FF"/>
    <w:rsid w:val="00DE1483"/>
    <w:rsid w:val="00DE2CC4"/>
    <w:rsid w:val="00DE365C"/>
    <w:rsid w:val="00DE4E17"/>
    <w:rsid w:val="00DE752E"/>
    <w:rsid w:val="00DF6CA8"/>
    <w:rsid w:val="00E021E9"/>
    <w:rsid w:val="00E23AE5"/>
    <w:rsid w:val="00E425C7"/>
    <w:rsid w:val="00E429F7"/>
    <w:rsid w:val="00E526D0"/>
    <w:rsid w:val="00E52E41"/>
    <w:rsid w:val="00E540FC"/>
    <w:rsid w:val="00E542BE"/>
    <w:rsid w:val="00E62CC4"/>
    <w:rsid w:val="00E75121"/>
    <w:rsid w:val="00E80235"/>
    <w:rsid w:val="00E83A63"/>
    <w:rsid w:val="00E853B2"/>
    <w:rsid w:val="00EA013B"/>
    <w:rsid w:val="00EA6D71"/>
    <w:rsid w:val="00EB602D"/>
    <w:rsid w:val="00EC1D56"/>
    <w:rsid w:val="00EE62D5"/>
    <w:rsid w:val="00EE7D4E"/>
    <w:rsid w:val="00EF3080"/>
    <w:rsid w:val="00EF3B7D"/>
    <w:rsid w:val="00F019FE"/>
    <w:rsid w:val="00F0509E"/>
    <w:rsid w:val="00F10609"/>
    <w:rsid w:val="00F1481E"/>
    <w:rsid w:val="00F22C6B"/>
    <w:rsid w:val="00F22E84"/>
    <w:rsid w:val="00F32670"/>
    <w:rsid w:val="00F562D3"/>
    <w:rsid w:val="00F575CB"/>
    <w:rsid w:val="00F6651C"/>
    <w:rsid w:val="00F6758C"/>
    <w:rsid w:val="00F67693"/>
    <w:rsid w:val="00F760CA"/>
    <w:rsid w:val="00F85760"/>
    <w:rsid w:val="00F8703D"/>
    <w:rsid w:val="00F901D4"/>
    <w:rsid w:val="00F913CA"/>
    <w:rsid w:val="00F91AFD"/>
    <w:rsid w:val="00F94180"/>
    <w:rsid w:val="00F94EA6"/>
    <w:rsid w:val="00FA3B7E"/>
    <w:rsid w:val="00FB20BD"/>
    <w:rsid w:val="00FB4894"/>
    <w:rsid w:val="00FB739E"/>
    <w:rsid w:val="00FC3262"/>
    <w:rsid w:val="00FC68C1"/>
    <w:rsid w:val="00FD17DA"/>
    <w:rsid w:val="00FD4DC9"/>
    <w:rsid w:val="00FE669E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D507"/>
  <w15:docId w15:val="{28EFE930-87CF-4EB8-AD7D-52506212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0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04D"/>
    <w:rPr>
      <w:sz w:val="18"/>
      <w:szCs w:val="18"/>
    </w:rPr>
  </w:style>
  <w:style w:type="paragraph" w:customStyle="1" w:styleId="Default">
    <w:name w:val="Default"/>
    <w:rsid w:val="00B246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41380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41380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41380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138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41380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138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41380"/>
    <w:rPr>
      <w:rFonts w:ascii="Times New Roman" w:eastAsia="宋体" w:hAnsi="Times New Roman" w:cs="Times New Roman"/>
      <w:sz w:val="18"/>
      <w:szCs w:val="18"/>
    </w:rPr>
  </w:style>
  <w:style w:type="character" w:customStyle="1" w:styleId="hrefstyle">
    <w:name w:val="hrefstyle"/>
    <w:basedOn w:val="a0"/>
    <w:rsid w:val="00A30CC8"/>
  </w:style>
  <w:style w:type="paragraph" w:styleId="ae">
    <w:name w:val="footnote text"/>
    <w:basedOn w:val="a"/>
    <w:link w:val="af"/>
    <w:uiPriority w:val="99"/>
    <w:semiHidden/>
    <w:unhideWhenUsed/>
    <w:rsid w:val="00786820"/>
    <w:pPr>
      <w:snapToGrid w:val="0"/>
      <w:spacing w:before="40" w:after="4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uiPriority w:val="99"/>
    <w:semiHidden/>
    <w:rsid w:val="00786820"/>
    <w:rPr>
      <w:rFonts w:ascii="Times New Roman" w:eastAsia="宋体" w:hAnsi="Times New Roman" w:cs="Times New Roman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7868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yuanyuzhu</dc:creator>
  <cp:lastModifiedBy>陈偲</cp:lastModifiedBy>
  <cp:revision>38</cp:revision>
  <dcterms:created xsi:type="dcterms:W3CDTF">2020-02-26T01:38:00Z</dcterms:created>
  <dcterms:modified xsi:type="dcterms:W3CDTF">2020-02-26T10:15:00Z</dcterms:modified>
</cp:coreProperties>
</file>