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480" w:firstLineChars="200"/>
        <w:rPr>
          <w:rFonts w:hint="eastAsia" w:asci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>证券代码：300773</w:t>
      </w:r>
      <w:r>
        <w:rPr>
          <w:rFonts w:ascii="宋体" w:hAnsi="宋体"/>
          <w:bCs/>
          <w:iCs/>
          <w:sz w:val="24"/>
        </w:rPr>
        <w:t xml:space="preserve">                                  </w:t>
      </w:r>
      <w:r>
        <w:rPr>
          <w:rFonts w:hint="eastAsia" w:ascii="宋体" w:hAnsi="宋体"/>
          <w:bCs/>
          <w:iCs/>
          <w:sz w:val="24"/>
        </w:rPr>
        <w:t>证券简称：拉卡拉</w:t>
      </w:r>
    </w:p>
    <w:p>
      <w:pPr>
        <w:spacing w:before="312" w:beforeLines="100" w:after="312" w:afterLines="100" w:line="400" w:lineRule="exact"/>
        <w:ind w:firstLine="482" w:firstLineChars="200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拉卡拉支付股份公司投资者关系活动记录表</w:t>
      </w:r>
    </w:p>
    <w:p>
      <w:pPr>
        <w:spacing w:line="400" w:lineRule="exact"/>
        <w:ind w:firstLine="480" w:firstLineChars="200"/>
        <w:jc w:val="right"/>
        <w:rPr>
          <w:rFonts w:hint="default" w:ascii="宋体" w:eastAsia="宋体"/>
          <w:bCs/>
          <w:i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sz w:val="24"/>
          <w:szCs w:val="24"/>
        </w:rPr>
        <w:t>编号：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20200228001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jc w:val="center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>特定对象调研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媒体采访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新闻发布会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ascii="宋体"/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参与单位名称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6713" w:type="dxa"/>
            <w:noWrap w:val="0"/>
            <w:vAlign w:val="top"/>
          </w:tcPr>
          <w:tbl>
            <w:tblPr>
              <w:tblStyle w:val="8"/>
              <w:tblW w:w="6080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92"/>
              <w:gridCol w:w="2088"/>
              <w:gridCol w:w="180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0" w:hRule="atLeast"/>
              </w:trPr>
              <w:tc>
                <w:tcPr>
                  <w:tcW w:w="2192" w:type="dxa"/>
                  <w:tcBorders>
                    <w:top w:val="single" w:color="7684C3" w:sz="4" w:space="0"/>
                    <w:left w:val="single" w:color="91D051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微软雅黑" w:hAnsi="微软雅黑" w:eastAsia="微软雅黑" w:cs="微软雅黑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机构</w:t>
                  </w:r>
                </w:p>
              </w:tc>
              <w:tc>
                <w:tcPr>
                  <w:tcW w:w="2088" w:type="dxa"/>
                  <w:tcBorders>
                    <w:top w:val="single" w:color="7684C3" w:sz="4" w:space="0"/>
                    <w:left w:val="single" w:color="91D051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微软雅黑" w:hAnsi="微软雅黑" w:eastAsia="微软雅黑" w:cs="微软雅黑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808" w:type="dxa"/>
                  <w:tcBorders>
                    <w:top w:val="single" w:color="7684C3" w:sz="4" w:space="0"/>
                    <w:left w:val="single" w:color="91D051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职位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中信证券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肖斐斐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阿布达比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李南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投资经理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Capital Group 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Helen Ding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投资经理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Marshall Wace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Cathy Xie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MSIM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Gary Cheung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投资经理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Marshall Wace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高溢彤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Broadpeak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Chwee Mein Yap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易方达基金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沐华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华夏基金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陈心怡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广发基金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樊力谨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南方基金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金岚枫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景顺长城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梁荣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财通基金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傅一帆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宝盈基金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李幸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华安基金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梁艳萍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基金经理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泰达宏利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邱楠宇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华宝基金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徐欣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银河基金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鲍武斌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中再资产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韩璐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东证资管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谢佩静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高毅资产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姜思辰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投资经理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高毅资产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王继林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淡水泉投资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时旭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投资经理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太平资产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耿艳艳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中信证券另类投资部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孙雯雯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8" w:hRule="atLeast"/>
              </w:trPr>
              <w:tc>
                <w:tcPr>
                  <w:tcW w:w="219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中信证券资产管理部</w:t>
                  </w:r>
                </w:p>
              </w:tc>
              <w:tc>
                <w:tcPr>
                  <w:tcW w:w="208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曾征</w:t>
                  </w:r>
                </w:p>
              </w:tc>
              <w:tc>
                <w:tcPr>
                  <w:tcW w:w="1808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研究员</w:t>
                  </w:r>
                </w:p>
              </w:tc>
            </w:tr>
          </w:tbl>
          <w:p>
            <w:pPr>
              <w:spacing w:line="480" w:lineRule="atLeast"/>
              <w:jc w:val="left"/>
              <w:rPr>
                <w:rFonts w:hint="default" w:ascii="宋体" w:hAnsi="宋体" w:cs="宋体"/>
                <w:bCs/>
                <w:i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jc w:val="both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2020年02月28日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jc w:val="both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电话调研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上市公司接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待人员姓名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jc w:val="left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公司副总经理兼董事会秘书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朱国海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活动主要内</w:t>
            </w:r>
          </w:p>
          <w:p>
            <w:pPr>
              <w:spacing w:line="480" w:lineRule="atLeast"/>
              <w:ind w:firstLine="482" w:firstLineChars="200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容介绍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Q: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拉卡拉进入4.0战略时期，除传统优势的收单业务外，请问公司对金融科技、电商科技和信息科技业务的战略定位如何？目前在推动相关战略落地过程中，采取了哪些具体措施？</w:t>
            </w:r>
          </w:p>
          <w:p>
            <w:pPr>
              <w:pStyle w:val="19"/>
              <w:numPr>
                <w:ilvl w:val="0"/>
                <w:numId w:val="0"/>
              </w:numPr>
              <w:spacing w:line="24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A: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公司主营业务为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以支付为入口，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支付、金融、电商、信息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四大科技协同融合，全维度为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中小微商户提供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线上线下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服务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具体措施：一是推广新产品，去年四季度推出的云小店、收款码、云收单、汇管店、电签pos等产品；二是加大拓展，实施自营和渠道双轮驱动的策略；三是加强外部合作，如为金融机构等开展支付、金融、信息科技等业务；四、研发新产品，深度切入交易场景，增加用户。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Q: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请问公司管理层如何判断当前支付行业的发展格局？一方面是监管日益严格，传统收入模式是否面临显著的交易金额增长压力？另一方面是支付宝等账户端溢价能力日益加强，是否会对公司的费率带来挑战？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A:未来支付行业的发展格局：支付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不断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创新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头部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集中，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监管从严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等。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支付总体是个增量市场，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靠传统收入模式一定是被动的，公司竞争优势和综合实力很关键。基于支付业务优势，同时将商户经营业务做大做强。公司与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微信支付宝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是合作共赢关系，其定价不会对公司造成不利的影响。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Q: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新冠疫情影响下，如何判断一季度及2020年全年公司支付交易规模和对盈利的影响？请问如何展望2020年扫码支付的行业增长和公司增长情况？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本次疫情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公司的主营业务、营业收入和利润影响目前暂时还不大，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公司主营业务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为中小微商户提供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线上与线下的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支付科技、金融科技、电商科技、信息科技等服务，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2020年，公司将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发力新零售，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持续加大对新产品投放和市场拓展力度，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全面赋能小微商户线上线下一体化，且疫情之下，商户对公司线上业务的需求也会增加。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本次疫情短期内对国内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餐饮、酒店、零售、旅游等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行业影响较大，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服务的商户区域和行业分布广泛且规模巨大，上述行业的商户交易量占比较小，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预计一季度交易量同比会略有下滑，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当前交易量已逐步回升。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预计2020年全行业及公司扫码交易继续保持增长态势。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Q: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司去年战略投资了千米，请问目前双方协同业务进展情况如何，千米是否对于公司saas业务带来了显著增长？在公司4.0战略下，请问2020年对于SaaS服务相关的产品、业务和布局有何新的目标和计划？如何展望未来3-5年这部分业务的收入贡献？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A:公司去年战略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投资S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aa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领域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采取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分步实施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的策略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当前还在布局阶段，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第一步先投资，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后续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看发展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。SaaS服务的商户，主要侧重于快消品、生鲜、母婴、水果、家政、批发等行业领域。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Q: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公司近期与华为签订了业务合作协议，合作协议是否是排他协议？能够简单介绍一下合作领内容？公司是否对于合作的潜在业务规模和客户数量进行量化评估？</w:t>
            </w:r>
          </w:p>
          <w:p>
            <w:pPr>
              <w:numPr>
                <w:ilvl w:val="-1"/>
                <w:numId w:val="0"/>
              </w:numPr>
              <w:ind w:leftChars="0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A：双方合作协议不具有排他性。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合作的内容主要是：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会员、优惠、营销业务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和产品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合作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华为钱包商家收款业务合作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便民应用合作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华为PAY线上线下推广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双方已同步完成华为钱包商家收款、用户优惠营销等业务的联合研发，未来将结合业务合作进程逐步面向市场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发布推广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Q：根据央行公布的数据，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备付金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余额几乎没有增长，但整体的支付规模是增长的，背后的原因是什么呢？结合拉卡拉的半年报看，公司备付金的余额却是增长的，背后的原因以及备付金结构是怎样的？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A:公司三季报备付金余额约49亿。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按照中国银联要求，清算规则发生改变，导致资金沉淀增加，相应的备付金账户余额增加。行业头部公司，备付金余额会较大。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Q:未来公司是否在金融方面有其他布局的打算？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A:公司整体发展通过内生、外长方式进行布局。主要围绕如何让支付和商户经营业务变得更强大。为中小微商户提供各种金融服务是重点发展的业务。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Q:去年开始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商业银行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开始进入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聚合支付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领域，收单侧如果看待第三方支付机构、商业银行的优劣势以及未来格局的演进?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：收单业务包含拓展商户、终端成本、设备故障排查、商户回访服务、交易行为监测等，这些对银行而言，不会优化银行的收益，反而会扩大成本，银行和第三方支付公司合作，有天然的互补效应。去年，商业银行进入聚合支付领域，实际还是第三方支付机构在做。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Q:请问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积分购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业务的开展情况，以及盈利情况和合作方有哪些，盈利机会在哪里？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A：积分购去年交易量超过一倍，利润增长也不错。合作方主要为上游积分源，以及下游积分消费商户。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Q：您怎么看未来监管态势？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A:未来行业还是严监管态势。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Q:请问您对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线上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支付、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线下收单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未来发展方向是怎样的？</w:t>
            </w:r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 w:firstLine="480" w:firstLineChars="20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A：经济发展带来消费增长、新型支付方式推动银行卡的渗透与市场下沉、科技进步等都是支付交易量增长的驱动因素，未来支付的交易量必然会呈现增长态势。</w:t>
            </w:r>
            <w:bookmarkStart w:id="0" w:name="_GoBack"/>
            <w:bookmarkEnd w:id="0"/>
          </w:p>
          <w:p>
            <w:pPr>
              <w:pStyle w:val="18"/>
              <w:numPr>
                <w:ilvl w:val="0"/>
                <w:numId w:val="0"/>
              </w:numPr>
              <w:adjustRightInd w:val="0"/>
              <w:snapToGrid w:val="0"/>
              <w:spacing w:before="218" w:beforeLines="70" w:after="218" w:afterLines="70" w:line="240" w:lineRule="auto"/>
              <w:ind w:leftChars="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default" w:ascii="宋体" w:hAnsi="宋体" w:cs="宋体"/>
                <w:b/>
                <w:bCs w:val="0"/>
                <w:i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ind w:firstLine="482" w:firstLineChars="200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附件清单</w:t>
            </w:r>
          </w:p>
          <w:p>
            <w:pPr>
              <w:spacing w:line="480" w:lineRule="atLeast"/>
              <w:ind w:firstLine="482" w:firstLineChars="200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（如有）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  <w:bCs/>
                <w:i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2020年02月28日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7C"/>
    <w:rsid w:val="000071D1"/>
    <w:rsid w:val="00011C0A"/>
    <w:rsid w:val="00012615"/>
    <w:rsid w:val="000131F9"/>
    <w:rsid w:val="000137F9"/>
    <w:rsid w:val="000150A3"/>
    <w:rsid w:val="00026ECB"/>
    <w:rsid w:val="00031EB5"/>
    <w:rsid w:val="00040CAB"/>
    <w:rsid w:val="000420E5"/>
    <w:rsid w:val="0004529F"/>
    <w:rsid w:val="00056E5E"/>
    <w:rsid w:val="00060B79"/>
    <w:rsid w:val="00062972"/>
    <w:rsid w:val="000635B2"/>
    <w:rsid w:val="00071DB4"/>
    <w:rsid w:val="0008134A"/>
    <w:rsid w:val="00085B65"/>
    <w:rsid w:val="000914D5"/>
    <w:rsid w:val="000929DE"/>
    <w:rsid w:val="00095625"/>
    <w:rsid w:val="00096B1A"/>
    <w:rsid w:val="000970FA"/>
    <w:rsid w:val="000B4BD6"/>
    <w:rsid w:val="000B6BB1"/>
    <w:rsid w:val="000C7926"/>
    <w:rsid w:val="000D01DE"/>
    <w:rsid w:val="000D2265"/>
    <w:rsid w:val="000D474E"/>
    <w:rsid w:val="000E13B6"/>
    <w:rsid w:val="000E7538"/>
    <w:rsid w:val="00100FF5"/>
    <w:rsid w:val="00106BEA"/>
    <w:rsid w:val="00120682"/>
    <w:rsid w:val="00121457"/>
    <w:rsid w:val="00123AD8"/>
    <w:rsid w:val="00124FA0"/>
    <w:rsid w:val="00130332"/>
    <w:rsid w:val="0013533B"/>
    <w:rsid w:val="00140542"/>
    <w:rsid w:val="0014099F"/>
    <w:rsid w:val="00143D8F"/>
    <w:rsid w:val="001447FE"/>
    <w:rsid w:val="0015379D"/>
    <w:rsid w:val="00163803"/>
    <w:rsid w:val="00170196"/>
    <w:rsid w:val="001741F2"/>
    <w:rsid w:val="001774C5"/>
    <w:rsid w:val="00180392"/>
    <w:rsid w:val="0019174E"/>
    <w:rsid w:val="001A52DF"/>
    <w:rsid w:val="001A70DE"/>
    <w:rsid w:val="001A7406"/>
    <w:rsid w:val="001A7EC4"/>
    <w:rsid w:val="001D5571"/>
    <w:rsid w:val="001E23AE"/>
    <w:rsid w:val="001E6D33"/>
    <w:rsid w:val="001F09CF"/>
    <w:rsid w:val="001F788C"/>
    <w:rsid w:val="00207BF6"/>
    <w:rsid w:val="00211AD3"/>
    <w:rsid w:val="002166DE"/>
    <w:rsid w:val="00216FA0"/>
    <w:rsid w:val="00231091"/>
    <w:rsid w:val="002322C3"/>
    <w:rsid w:val="00233398"/>
    <w:rsid w:val="00243484"/>
    <w:rsid w:val="00250074"/>
    <w:rsid w:val="002609BF"/>
    <w:rsid w:val="00274B76"/>
    <w:rsid w:val="0027574C"/>
    <w:rsid w:val="0028499B"/>
    <w:rsid w:val="00292D79"/>
    <w:rsid w:val="0029376B"/>
    <w:rsid w:val="002946EA"/>
    <w:rsid w:val="00297C64"/>
    <w:rsid w:val="002B041B"/>
    <w:rsid w:val="002B319A"/>
    <w:rsid w:val="002B3F14"/>
    <w:rsid w:val="002B4810"/>
    <w:rsid w:val="002C0F90"/>
    <w:rsid w:val="002D0638"/>
    <w:rsid w:val="002D15B3"/>
    <w:rsid w:val="002D3F15"/>
    <w:rsid w:val="002D6A5D"/>
    <w:rsid w:val="002E2038"/>
    <w:rsid w:val="003147DC"/>
    <w:rsid w:val="00316C97"/>
    <w:rsid w:val="00324607"/>
    <w:rsid w:val="00346590"/>
    <w:rsid w:val="003470BB"/>
    <w:rsid w:val="003475CD"/>
    <w:rsid w:val="00351A60"/>
    <w:rsid w:val="00357562"/>
    <w:rsid w:val="003650C6"/>
    <w:rsid w:val="00380348"/>
    <w:rsid w:val="0038232F"/>
    <w:rsid w:val="00383755"/>
    <w:rsid w:val="00384825"/>
    <w:rsid w:val="00390934"/>
    <w:rsid w:val="003927EB"/>
    <w:rsid w:val="003936CA"/>
    <w:rsid w:val="003A0ECA"/>
    <w:rsid w:val="003B7556"/>
    <w:rsid w:val="003E0AD0"/>
    <w:rsid w:val="003E6F6E"/>
    <w:rsid w:val="003F26AC"/>
    <w:rsid w:val="003F3DFC"/>
    <w:rsid w:val="003F5791"/>
    <w:rsid w:val="0041089F"/>
    <w:rsid w:val="0041670D"/>
    <w:rsid w:val="00420B64"/>
    <w:rsid w:val="004265F7"/>
    <w:rsid w:val="00430495"/>
    <w:rsid w:val="00435F66"/>
    <w:rsid w:val="00437200"/>
    <w:rsid w:val="0045551A"/>
    <w:rsid w:val="00455EC8"/>
    <w:rsid w:val="004607BC"/>
    <w:rsid w:val="004636E5"/>
    <w:rsid w:val="004814B7"/>
    <w:rsid w:val="004861D0"/>
    <w:rsid w:val="00486919"/>
    <w:rsid w:val="0049067C"/>
    <w:rsid w:val="00491869"/>
    <w:rsid w:val="004949D2"/>
    <w:rsid w:val="004A6948"/>
    <w:rsid w:val="004A6C8B"/>
    <w:rsid w:val="004B160D"/>
    <w:rsid w:val="004B3648"/>
    <w:rsid w:val="004B78F4"/>
    <w:rsid w:val="004C648F"/>
    <w:rsid w:val="004E484C"/>
    <w:rsid w:val="004E4A8E"/>
    <w:rsid w:val="004F212B"/>
    <w:rsid w:val="00507F2C"/>
    <w:rsid w:val="00514718"/>
    <w:rsid w:val="005162B2"/>
    <w:rsid w:val="005437EA"/>
    <w:rsid w:val="00565839"/>
    <w:rsid w:val="0056752A"/>
    <w:rsid w:val="005777EF"/>
    <w:rsid w:val="00590FE7"/>
    <w:rsid w:val="005968A0"/>
    <w:rsid w:val="005A2B9D"/>
    <w:rsid w:val="005A58E7"/>
    <w:rsid w:val="005B0201"/>
    <w:rsid w:val="005B092E"/>
    <w:rsid w:val="005B0B69"/>
    <w:rsid w:val="005B7849"/>
    <w:rsid w:val="005B7CB6"/>
    <w:rsid w:val="005D7EB0"/>
    <w:rsid w:val="005F4D19"/>
    <w:rsid w:val="005F679D"/>
    <w:rsid w:val="005F6FE0"/>
    <w:rsid w:val="006005A5"/>
    <w:rsid w:val="0060633D"/>
    <w:rsid w:val="00610970"/>
    <w:rsid w:val="006112CD"/>
    <w:rsid w:val="0061536D"/>
    <w:rsid w:val="006319B1"/>
    <w:rsid w:val="006337A7"/>
    <w:rsid w:val="00635C91"/>
    <w:rsid w:val="00650EEE"/>
    <w:rsid w:val="00661586"/>
    <w:rsid w:val="00682398"/>
    <w:rsid w:val="0068688F"/>
    <w:rsid w:val="00692CE4"/>
    <w:rsid w:val="00693FB1"/>
    <w:rsid w:val="00694E46"/>
    <w:rsid w:val="00694E7A"/>
    <w:rsid w:val="0069635D"/>
    <w:rsid w:val="00696726"/>
    <w:rsid w:val="006A2496"/>
    <w:rsid w:val="006A6CA0"/>
    <w:rsid w:val="006B1A32"/>
    <w:rsid w:val="006C4E0E"/>
    <w:rsid w:val="006D7503"/>
    <w:rsid w:val="006E06BE"/>
    <w:rsid w:val="006E0776"/>
    <w:rsid w:val="006E4A7A"/>
    <w:rsid w:val="006E737C"/>
    <w:rsid w:val="006E7AE9"/>
    <w:rsid w:val="006F3E16"/>
    <w:rsid w:val="006F56D7"/>
    <w:rsid w:val="007023FC"/>
    <w:rsid w:val="00706A17"/>
    <w:rsid w:val="00710308"/>
    <w:rsid w:val="007146EC"/>
    <w:rsid w:val="0073320F"/>
    <w:rsid w:val="00741776"/>
    <w:rsid w:val="007546F7"/>
    <w:rsid w:val="007577F5"/>
    <w:rsid w:val="00763CCB"/>
    <w:rsid w:val="00786662"/>
    <w:rsid w:val="0078703F"/>
    <w:rsid w:val="00790442"/>
    <w:rsid w:val="0079198A"/>
    <w:rsid w:val="00793C14"/>
    <w:rsid w:val="00796A3E"/>
    <w:rsid w:val="007A3E35"/>
    <w:rsid w:val="007A527F"/>
    <w:rsid w:val="007B1BA6"/>
    <w:rsid w:val="007B5F3A"/>
    <w:rsid w:val="007D4A1C"/>
    <w:rsid w:val="007D57FD"/>
    <w:rsid w:val="007E18CB"/>
    <w:rsid w:val="007E35EE"/>
    <w:rsid w:val="007E66F9"/>
    <w:rsid w:val="0081226A"/>
    <w:rsid w:val="00816557"/>
    <w:rsid w:val="0082237C"/>
    <w:rsid w:val="00824CA9"/>
    <w:rsid w:val="0082540A"/>
    <w:rsid w:val="00825809"/>
    <w:rsid w:val="00864E6E"/>
    <w:rsid w:val="00883888"/>
    <w:rsid w:val="00883AF8"/>
    <w:rsid w:val="00885514"/>
    <w:rsid w:val="008929D3"/>
    <w:rsid w:val="008B055F"/>
    <w:rsid w:val="008B1CC6"/>
    <w:rsid w:val="008B224F"/>
    <w:rsid w:val="008C3056"/>
    <w:rsid w:val="008C6BCD"/>
    <w:rsid w:val="008C7294"/>
    <w:rsid w:val="008F7791"/>
    <w:rsid w:val="00902837"/>
    <w:rsid w:val="00910460"/>
    <w:rsid w:val="00914382"/>
    <w:rsid w:val="009167C0"/>
    <w:rsid w:val="00920A44"/>
    <w:rsid w:val="00922C4B"/>
    <w:rsid w:val="00936D9A"/>
    <w:rsid w:val="009738EA"/>
    <w:rsid w:val="009923EB"/>
    <w:rsid w:val="009A06F8"/>
    <w:rsid w:val="009B699A"/>
    <w:rsid w:val="009C0473"/>
    <w:rsid w:val="009D0B4B"/>
    <w:rsid w:val="009D1555"/>
    <w:rsid w:val="009D6EE2"/>
    <w:rsid w:val="009E1C9D"/>
    <w:rsid w:val="009E29E5"/>
    <w:rsid w:val="009E2AE2"/>
    <w:rsid w:val="009F0E9C"/>
    <w:rsid w:val="00A0664F"/>
    <w:rsid w:val="00A06E0B"/>
    <w:rsid w:val="00A2500C"/>
    <w:rsid w:val="00A25216"/>
    <w:rsid w:val="00A36448"/>
    <w:rsid w:val="00A420D3"/>
    <w:rsid w:val="00A470E8"/>
    <w:rsid w:val="00A52FF2"/>
    <w:rsid w:val="00A8004C"/>
    <w:rsid w:val="00AA4D23"/>
    <w:rsid w:val="00AA70A2"/>
    <w:rsid w:val="00AB1134"/>
    <w:rsid w:val="00AB117E"/>
    <w:rsid w:val="00AB4669"/>
    <w:rsid w:val="00AB49B6"/>
    <w:rsid w:val="00AB4E3B"/>
    <w:rsid w:val="00AC2A84"/>
    <w:rsid w:val="00AC34D5"/>
    <w:rsid w:val="00AC7BE8"/>
    <w:rsid w:val="00AD2C45"/>
    <w:rsid w:val="00AD733C"/>
    <w:rsid w:val="00AE0C53"/>
    <w:rsid w:val="00AE1C7B"/>
    <w:rsid w:val="00AF53E6"/>
    <w:rsid w:val="00AF6F1D"/>
    <w:rsid w:val="00B111FF"/>
    <w:rsid w:val="00B163B7"/>
    <w:rsid w:val="00B22B48"/>
    <w:rsid w:val="00B26B0B"/>
    <w:rsid w:val="00B435A6"/>
    <w:rsid w:val="00B47778"/>
    <w:rsid w:val="00B50F58"/>
    <w:rsid w:val="00B51544"/>
    <w:rsid w:val="00B55C29"/>
    <w:rsid w:val="00B62832"/>
    <w:rsid w:val="00B8110F"/>
    <w:rsid w:val="00B83D50"/>
    <w:rsid w:val="00B8782B"/>
    <w:rsid w:val="00B9085C"/>
    <w:rsid w:val="00BB5D17"/>
    <w:rsid w:val="00BB72BA"/>
    <w:rsid w:val="00BC4F8D"/>
    <w:rsid w:val="00BC76F1"/>
    <w:rsid w:val="00BE2F47"/>
    <w:rsid w:val="00BF320C"/>
    <w:rsid w:val="00C00454"/>
    <w:rsid w:val="00C17F14"/>
    <w:rsid w:val="00C55B05"/>
    <w:rsid w:val="00C6386C"/>
    <w:rsid w:val="00C71B66"/>
    <w:rsid w:val="00C779F0"/>
    <w:rsid w:val="00C82DCB"/>
    <w:rsid w:val="00C96167"/>
    <w:rsid w:val="00CA6AD3"/>
    <w:rsid w:val="00CB7F0D"/>
    <w:rsid w:val="00CC3C8A"/>
    <w:rsid w:val="00CC71F5"/>
    <w:rsid w:val="00CC755E"/>
    <w:rsid w:val="00CD149B"/>
    <w:rsid w:val="00CD7EFF"/>
    <w:rsid w:val="00CE66EB"/>
    <w:rsid w:val="00CE6860"/>
    <w:rsid w:val="00CF75EE"/>
    <w:rsid w:val="00D1454D"/>
    <w:rsid w:val="00D15B02"/>
    <w:rsid w:val="00D2659B"/>
    <w:rsid w:val="00D32A3A"/>
    <w:rsid w:val="00D358D9"/>
    <w:rsid w:val="00D52E94"/>
    <w:rsid w:val="00D56AD9"/>
    <w:rsid w:val="00D71D0A"/>
    <w:rsid w:val="00D8068A"/>
    <w:rsid w:val="00D85497"/>
    <w:rsid w:val="00D92BF3"/>
    <w:rsid w:val="00D94172"/>
    <w:rsid w:val="00D95141"/>
    <w:rsid w:val="00D9574C"/>
    <w:rsid w:val="00D95E66"/>
    <w:rsid w:val="00D96368"/>
    <w:rsid w:val="00DA419D"/>
    <w:rsid w:val="00DD448A"/>
    <w:rsid w:val="00DD6C61"/>
    <w:rsid w:val="00DD798C"/>
    <w:rsid w:val="00DE15D7"/>
    <w:rsid w:val="00DE2732"/>
    <w:rsid w:val="00DF10CC"/>
    <w:rsid w:val="00E001EA"/>
    <w:rsid w:val="00E042D3"/>
    <w:rsid w:val="00E073DF"/>
    <w:rsid w:val="00E21BF1"/>
    <w:rsid w:val="00E2348D"/>
    <w:rsid w:val="00E24C35"/>
    <w:rsid w:val="00E27DE3"/>
    <w:rsid w:val="00E33774"/>
    <w:rsid w:val="00E51B2F"/>
    <w:rsid w:val="00E60566"/>
    <w:rsid w:val="00E63252"/>
    <w:rsid w:val="00E6448D"/>
    <w:rsid w:val="00E939D0"/>
    <w:rsid w:val="00E94990"/>
    <w:rsid w:val="00E94ADB"/>
    <w:rsid w:val="00EA08D0"/>
    <w:rsid w:val="00EA0F97"/>
    <w:rsid w:val="00EA1BD5"/>
    <w:rsid w:val="00EA3676"/>
    <w:rsid w:val="00EA413D"/>
    <w:rsid w:val="00EB1C78"/>
    <w:rsid w:val="00EC1FC9"/>
    <w:rsid w:val="00EE490E"/>
    <w:rsid w:val="00EE6FBF"/>
    <w:rsid w:val="00EE7B15"/>
    <w:rsid w:val="00EF03A5"/>
    <w:rsid w:val="00EF3E26"/>
    <w:rsid w:val="00F04FD0"/>
    <w:rsid w:val="00F06895"/>
    <w:rsid w:val="00F06C27"/>
    <w:rsid w:val="00F177AA"/>
    <w:rsid w:val="00F40B61"/>
    <w:rsid w:val="00F63AD8"/>
    <w:rsid w:val="00F6676C"/>
    <w:rsid w:val="00F75335"/>
    <w:rsid w:val="00F81EF8"/>
    <w:rsid w:val="00F85267"/>
    <w:rsid w:val="00FC3079"/>
    <w:rsid w:val="00FC7413"/>
    <w:rsid w:val="00FE3562"/>
    <w:rsid w:val="00FF46AC"/>
    <w:rsid w:val="019F461C"/>
    <w:rsid w:val="01AF4DFA"/>
    <w:rsid w:val="022D0D62"/>
    <w:rsid w:val="02DC16DC"/>
    <w:rsid w:val="030D0218"/>
    <w:rsid w:val="049215B4"/>
    <w:rsid w:val="06027874"/>
    <w:rsid w:val="07195300"/>
    <w:rsid w:val="07330A70"/>
    <w:rsid w:val="07E55ACC"/>
    <w:rsid w:val="08057E3D"/>
    <w:rsid w:val="0895416A"/>
    <w:rsid w:val="089F2A9C"/>
    <w:rsid w:val="08BE0D2E"/>
    <w:rsid w:val="0A96177E"/>
    <w:rsid w:val="0BB22810"/>
    <w:rsid w:val="0CB81877"/>
    <w:rsid w:val="0DEF2218"/>
    <w:rsid w:val="10580363"/>
    <w:rsid w:val="1094322A"/>
    <w:rsid w:val="1177789E"/>
    <w:rsid w:val="120A0F3C"/>
    <w:rsid w:val="12327929"/>
    <w:rsid w:val="127E7B7A"/>
    <w:rsid w:val="12A85383"/>
    <w:rsid w:val="12D34C22"/>
    <w:rsid w:val="13342FBC"/>
    <w:rsid w:val="134E6C67"/>
    <w:rsid w:val="137523DC"/>
    <w:rsid w:val="155E2F7E"/>
    <w:rsid w:val="16942C2B"/>
    <w:rsid w:val="171A3CDE"/>
    <w:rsid w:val="172A3AB5"/>
    <w:rsid w:val="17DC1CCE"/>
    <w:rsid w:val="18D52E51"/>
    <w:rsid w:val="19857438"/>
    <w:rsid w:val="1A0102C3"/>
    <w:rsid w:val="1AB529D9"/>
    <w:rsid w:val="1BD211F1"/>
    <w:rsid w:val="1C20645E"/>
    <w:rsid w:val="1CC9076F"/>
    <w:rsid w:val="1D026A59"/>
    <w:rsid w:val="1F6D2243"/>
    <w:rsid w:val="1FFF52FD"/>
    <w:rsid w:val="216564B9"/>
    <w:rsid w:val="21A91E87"/>
    <w:rsid w:val="21CD5F04"/>
    <w:rsid w:val="224E7A36"/>
    <w:rsid w:val="22A41471"/>
    <w:rsid w:val="23141549"/>
    <w:rsid w:val="232A4AED"/>
    <w:rsid w:val="23B44DD4"/>
    <w:rsid w:val="25EC2C30"/>
    <w:rsid w:val="27A2775E"/>
    <w:rsid w:val="27FE5A94"/>
    <w:rsid w:val="290F73DF"/>
    <w:rsid w:val="2ADB7715"/>
    <w:rsid w:val="2B296CE2"/>
    <w:rsid w:val="2BFB06A0"/>
    <w:rsid w:val="2CE52957"/>
    <w:rsid w:val="2E867ADD"/>
    <w:rsid w:val="2E9A4F86"/>
    <w:rsid w:val="2F58112D"/>
    <w:rsid w:val="30484E27"/>
    <w:rsid w:val="3073258C"/>
    <w:rsid w:val="31B67643"/>
    <w:rsid w:val="31CD00BA"/>
    <w:rsid w:val="32A33F95"/>
    <w:rsid w:val="33541CC7"/>
    <w:rsid w:val="35407EA4"/>
    <w:rsid w:val="355E240E"/>
    <w:rsid w:val="358502B3"/>
    <w:rsid w:val="3629358B"/>
    <w:rsid w:val="37A117AC"/>
    <w:rsid w:val="37CE60BB"/>
    <w:rsid w:val="37FC30DD"/>
    <w:rsid w:val="38B97517"/>
    <w:rsid w:val="39AC68D5"/>
    <w:rsid w:val="39BD2329"/>
    <w:rsid w:val="39C63C50"/>
    <w:rsid w:val="39D44C42"/>
    <w:rsid w:val="3A9E6D76"/>
    <w:rsid w:val="3AAF00C4"/>
    <w:rsid w:val="3B213BBB"/>
    <w:rsid w:val="3C77446E"/>
    <w:rsid w:val="3DB506EC"/>
    <w:rsid w:val="3DFE6BB0"/>
    <w:rsid w:val="3E333D4C"/>
    <w:rsid w:val="3F1B0AF2"/>
    <w:rsid w:val="3FFF2B56"/>
    <w:rsid w:val="40DA2596"/>
    <w:rsid w:val="429E1503"/>
    <w:rsid w:val="42B42326"/>
    <w:rsid w:val="4345127F"/>
    <w:rsid w:val="43481379"/>
    <w:rsid w:val="43E903FB"/>
    <w:rsid w:val="44573808"/>
    <w:rsid w:val="45A9690C"/>
    <w:rsid w:val="48303094"/>
    <w:rsid w:val="48D23566"/>
    <w:rsid w:val="4915171E"/>
    <w:rsid w:val="4A0B781F"/>
    <w:rsid w:val="4AAC134D"/>
    <w:rsid w:val="4BA71B20"/>
    <w:rsid w:val="4C272843"/>
    <w:rsid w:val="4C4948E0"/>
    <w:rsid w:val="4DCA06D8"/>
    <w:rsid w:val="4DDE4A7D"/>
    <w:rsid w:val="4E102F92"/>
    <w:rsid w:val="50124C49"/>
    <w:rsid w:val="515014E2"/>
    <w:rsid w:val="517D08D2"/>
    <w:rsid w:val="518A3D31"/>
    <w:rsid w:val="53616804"/>
    <w:rsid w:val="5440246A"/>
    <w:rsid w:val="548E75BD"/>
    <w:rsid w:val="54FF48D9"/>
    <w:rsid w:val="556A2EC9"/>
    <w:rsid w:val="559D4069"/>
    <w:rsid w:val="56984139"/>
    <w:rsid w:val="572F431A"/>
    <w:rsid w:val="5753718E"/>
    <w:rsid w:val="57656C94"/>
    <w:rsid w:val="57EB29E7"/>
    <w:rsid w:val="58867B22"/>
    <w:rsid w:val="5B8B53E3"/>
    <w:rsid w:val="5BD05788"/>
    <w:rsid w:val="5D5E5F51"/>
    <w:rsid w:val="5E997AF0"/>
    <w:rsid w:val="5FF34D5E"/>
    <w:rsid w:val="617436E2"/>
    <w:rsid w:val="62666782"/>
    <w:rsid w:val="63CA1D16"/>
    <w:rsid w:val="647F69E5"/>
    <w:rsid w:val="64B31F24"/>
    <w:rsid w:val="67241C5B"/>
    <w:rsid w:val="680A6BA8"/>
    <w:rsid w:val="685D3DC2"/>
    <w:rsid w:val="68723E96"/>
    <w:rsid w:val="688F2233"/>
    <w:rsid w:val="6BBD5EC0"/>
    <w:rsid w:val="6C363A63"/>
    <w:rsid w:val="6EC939F6"/>
    <w:rsid w:val="6F1F6167"/>
    <w:rsid w:val="6F8B49D7"/>
    <w:rsid w:val="710132DB"/>
    <w:rsid w:val="72A735AD"/>
    <w:rsid w:val="742C5790"/>
    <w:rsid w:val="743B7BEB"/>
    <w:rsid w:val="744C1208"/>
    <w:rsid w:val="7567545F"/>
    <w:rsid w:val="75E9335C"/>
    <w:rsid w:val="76FD6A38"/>
    <w:rsid w:val="774575D1"/>
    <w:rsid w:val="77E07839"/>
    <w:rsid w:val="7861550A"/>
    <w:rsid w:val="7A0674B0"/>
    <w:rsid w:val="7A3A0587"/>
    <w:rsid w:val="7C5538A5"/>
    <w:rsid w:val="7D86047A"/>
    <w:rsid w:val="7F701CF1"/>
    <w:rsid w:val="7FC73EC4"/>
    <w:rsid w:val="7FFA12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4"/>
    <w:qFormat/>
    <w:uiPriority w:val="0"/>
    <w:pPr>
      <w:jc w:val="left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23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  <w:rPr>
      <w:color w:val="FF0000"/>
    </w:rPr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character" w:styleId="14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styleId="16">
    <w:name w:val="HTML Keyboard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7">
    <w:name w:val="HTML Sampl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20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21">
    <w:name w:val="not([class*=suffix])1"/>
    <w:basedOn w:val="9"/>
    <w:qFormat/>
    <w:uiPriority w:val="0"/>
    <w:rPr>
      <w:sz w:val="13"/>
      <w:szCs w:val="13"/>
    </w:rPr>
  </w:style>
  <w:style w:type="character" w:customStyle="1" w:styleId="22">
    <w:name w:val="no-reply-icon"/>
    <w:basedOn w:val="9"/>
    <w:qFormat/>
    <w:uiPriority w:val="0"/>
    <w:rPr>
      <w:color w:val="BBC0CC"/>
      <w:bdr w:val="single" w:color="F8F8F8" w:sz="4" w:space="0"/>
      <w:shd w:val="clear" w:color="auto" w:fill="F8F8F8"/>
    </w:rPr>
  </w:style>
  <w:style w:type="character" w:customStyle="1" w:styleId="23">
    <w:name w:val="批注主题 字符"/>
    <w:link w:val="7"/>
    <w:qFormat/>
    <w:uiPriority w:val="0"/>
    <w:rPr>
      <w:b/>
      <w:bCs/>
      <w:kern w:val="2"/>
      <w:sz w:val="21"/>
    </w:rPr>
  </w:style>
  <w:style w:type="character" w:customStyle="1" w:styleId="24">
    <w:name w:val="flag-title2"/>
    <w:basedOn w:val="9"/>
    <w:qFormat/>
    <w:uiPriority w:val="0"/>
    <w:rPr>
      <w:color w:val="8790A4"/>
      <w:sz w:val="12"/>
      <w:szCs w:val="12"/>
      <w:bdr w:val="dashed" w:color="E5E5E5" w:sz="4" w:space="0"/>
    </w:rPr>
  </w:style>
  <w:style w:type="character" w:customStyle="1" w:styleId="25">
    <w:name w:val="right"/>
    <w:basedOn w:val="9"/>
    <w:qFormat/>
    <w:uiPriority w:val="0"/>
    <w:rPr>
      <w:shd w:val="clear" w:color="auto" w:fill="E5E5E5"/>
    </w:rPr>
  </w:style>
  <w:style w:type="character" w:customStyle="1" w:styleId="26">
    <w:name w:val="new-question-icon"/>
    <w:basedOn w:val="9"/>
    <w:qFormat/>
    <w:uiPriority w:val="0"/>
    <w:rPr>
      <w:color w:val="F99403"/>
      <w:bdr w:val="single" w:color="FFF8E2" w:sz="4" w:space="0"/>
      <w:shd w:val="clear" w:color="auto" w:fill="FFF8E2"/>
    </w:rPr>
  </w:style>
  <w:style w:type="character" w:customStyle="1" w:styleId="27">
    <w:name w:val="hover4"/>
    <w:basedOn w:val="9"/>
    <w:qFormat/>
    <w:uiPriority w:val="0"/>
    <w:rPr>
      <w:color w:val="0077E6"/>
    </w:rPr>
  </w:style>
  <w:style w:type="character" w:customStyle="1" w:styleId="28">
    <w:name w:val="not([class*=suffix])"/>
    <w:basedOn w:val="9"/>
    <w:qFormat/>
    <w:uiPriority w:val="0"/>
  </w:style>
  <w:style w:type="character" w:customStyle="1" w:styleId="2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30">
    <w:name w:val="nth-child(1)"/>
    <w:basedOn w:val="9"/>
    <w:qFormat/>
    <w:uiPriority w:val="0"/>
  </w:style>
  <w:style w:type="character" w:customStyle="1" w:styleId="31">
    <w:name w:val="nth-child(3)"/>
    <w:basedOn w:val="9"/>
    <w:qFormat/>
    <w:uiPriority w:val="0"/>
  </w:style>
  <w:style w:type="character" w:customStyle="1" w:styleId="32">
    <w:name w:val="hot-question-icon"/>
    <w:basedOn w:val="9"/>
    <w:qFormat/>
    <w:uiPriority w:val="0"/>
    <w:rPr>
      <w:color w:val="FF0000"/>
    </w:rPr>
  </w:style>
  <w:style w:type="character" w:customStyle="1" w:styleId="33">
    <w:name w:val="nth-child(2)"/>
    <w:basedOn w:val="9"/>
    <w:qFormat/>
    <w:uiPriority w:val="0"/>
  </w:style>
  <w:style w:type="character" w:customStyle="1" w:styleId="34">
    <w:name w:val="批注文字 字符"/>
    <w:link w:val="2"/>
    <w:qFormat/>
    <w:uiPriority w:val="0"/>
    <w:rPr>
      <w:kern w:val="2"/>
      <w:sz w:val="21"/>
    </w:rPr>
  </w:style>
  <w:style w:type="character" w:customStyle="1" w:styleId="35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874</Characters>
  <Lines>7</Lines>
  <Paragraphs>2</Paragraphs>
  <TotalTime>14</TotalTime>
  <ScaleCrop>false</ScaleCrop>
  <LinksUpToDate>false</LinksUpToDate>
  <CharactersWithSpaces>1025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2015-05-12T07:54:00Z</dcterms:created>
  <dc:creator>jnc</dc:creator>
  <cp:lastModifiedBy>...＆dream</cp:lastModifiedBy>
  <dcterms:modified xsi:type="dcterms:W3CDTF">2020-03-02T02:41:28Z</dcterms:modified>
  <dc:title>证券代码：002408                              证券简称：齐翔腾达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