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hint="default" w:ascii="Times New Roman" w:hAnsi="Times New Roman" w:cs="Times New Roman" w:eastAsiaTheme="minorEastAsia"/>
          <w:bCs/>
          <w:iCs/>
          <w:color w:val="000000"/>
          <w:sz w:val="24"/>
        </w:rPr>
      </w:pPr>
      <w:r>
        <w:rPr>
          <w:rFonts w:hint="default" w:ascii="Times New Roman" w:hAnsi="Times New Roman" w:cs="Times New Roman" w:eastAsiaTheme="minorEastAsia"/>
          <w:bCs/>
          <w:iCs/>
          <w:color w:val="000000"/>
          <w:sz w:val="24"/>
        </w:rPr>
        <w:t>证券代码：300098                                     证券简称：高新兴</w:t>
      </w:r>
    </w:p>
    <w:p>
      <w:pPr>
        <w:spacing w:before="312" w:beforeLines="100" w:line="360" w:lineRule="auto"/>
        <w:jc w:val="center"/>
        <w:rPr>
          <w:rFonts w:hint="default" w:ascii="Times New Roman" w:hAnsi="Times New Roman" w:cs="Times New Roman" w:eastAsiaTheme="minorEastAsia"/>
          <w:b/>
          <w:sz w:val="30"/>
          <w:szCs w:val="30"/>
        </w:rPr>
      </w:pPr>
      <w:r>
        <w:rPr>
          <w:rFonts w:hint="default" w:ascii="Times New Roman" w:hAnsi="Times New Roman" w:cs="Times New Roman" w:eastAsiaTheme="minorEastAsia"/>
          <w:b/>
          <w:sz w:val="30"/>
          <w:szCs w:val="30"/>
        </w:rPr>
        <w:t>高新兴科技集团股份有限公司</w:t>
      </w:r>
    </w:p>
    <w:p>
      <w:pPr>
        <w:spacing w:after="312" w:afterLines="100" w:line="360" w:lineRule="auto"/>
        <w:jc w:val="center"/>
        <w:rPr>
          <w:rFonts w:hint="default" w:ascii="Times New Roman" w:hAnsi="Times New Roman" w:cs="Times New Roman" w:eastAsiaTheme="minorEastAsia"/>
          <w:b/>
          <w:sz w:val="30"/>
          <w:szCs w:val="30"/>
        </w:rPr>
      </w:pPr>
      <w:r>
        <w:rPr>
          <w:rFonts w:hint="default" w:ascii="Times New Roman" w:hAnsi="Times New Roman" w:cs="Times New Roman" w:eastAsiaTheme="minorEastAsia"/>
          <w:b/>
          <w:sz w:val="30"/>
          <w:szCs w:val="30"/>
        </w:rPr>
        <w:t>投资者关系活动记录表</w:t>
      </w:r>
    </w:p>
    <w:p>
      <w:pPr>
        <w:spacing w:line="400" w:lineRule="exact"/>
        <w:jc w:val="right"/>
        <w:rPr>
          <w:rFonts w:hint="default" w:ascii="Times New Roman" w:hAnsi="Times New Roman" w:cs="Times New Roman" w:eastAsiaTheme="minorEastAsia"/>
          <w:bCs/>
          <w:iCs/>
          <w:color w:val="000000"/>
          <w:sz w:val="24"/>
          <w:lang w:val="en-US" w:eastAsia="zh-CN"/>
        </w:rPr>
      </w:pPr>
      <w:r>
        <w:rPr>
          <w:rFonts w:hint="default" w:ascii="Times New Roman" w:hAnsi="Times New Roman" w:cs="Times New Roman" w:eastAsiaTheme="minorEastAsia"/>
          <w:bCs/>
          <w:iCs/>
          <w:color w:val="000000"/>
          <w:sz w:val="24"/>
        </w:rPr>
        <w:t>编号：20</w:t>
      </w:r>
      <w:r>
        <w:rPr>
          <w:rFonts w:hint="default" w:ascii="Times New Roman" w:hAnsi="Times New Roman" w:cs="Times New Roman" w:eastAsiaTheme="minorEastAsia"/>
          <w:bCs/>
          <w:iCs/>
          <w:color w:val="000000"/>
          <w:sz w:val="24"/>
          <w:lang w:val="en-US" w:eastAsia="zh-CN"/>
        </w:rPr>
        <w:t>20</w:t>
      </w:r>
      <w:r>
        <w:rPr>
          <w:rFonts w:hint="default" w:ascii="Times New Roman" w:hAnsi="Times New Roman" w:cs="Times New Roman" w:eastAsiaTheme="minorEastAsia"/>
          <w:bCs/>
          <w:iCs/>
          <w:color w:val="000000"/>
          <w:sz w:val="24"/>
        </w:rPr>
        <w:t>00</w:t>
      </w:r>
      <w:r>
        <w:rPr>
          <w:rFonts w:hint="default" w:ascii="Times New Roman" w:hAnsi="Times New Roman" w:cs="Times New Roman" w:eastAsiaTheme="minorEastAsia"/>
          <w:bCs/>
          <w:iCs/>
          <w:color w:val="000000"/>
          <w:sz w:val="24"/>
          <w:lang w:val="en-US" w:eastAsia="zh-CN"/>
        </w:rPr>
        <w:t>1</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特定对象调研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分析师会议</w:t>
            </w:r>
          </w:p>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媒体采访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业绩说明会</w:t>
            </w:r>
          </w:p>
          <w:p>
            <w:pPr>
              <w:spacing w:line="360" w:lineRule="auto"/>
              <w:ind w:left="210" w:leftChars="100"/>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新闻发布会     </w:t>
            </w: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路演活动</w:t>
            </w:r>
          </w:p>
          <w:p>
            <w:pPr>
              <w:tabs>
                <w:tab w:val="left" w:pos="2445"/>
                <w:tab w:val="center" w:pos="3199"/>
              </w:tabs>
              <w:spacing w:line="360" w:lineRule="auto"/>
              <w:ind w:left="210" w:leftChars="100"/>
              <w:rPr>
                <w:rFonts w:hint="default" w:ascii="Times New Roman" w:hAnsi="Times New Roman" w:cs="Times New Roman" w:eastAsiaTheme="minorEastAsia"/>
                <w:bCs/>
                <w:iCs/>
                <w:color w:val="000000"/>
                <w:szCs w:val="21"/>
                <w:lang w:val="en-US" w:eastAsia="zh-CN"/>
              </w:rPr>
            </w:pPr>
            <w:r>
              <w:rPr>
                <w:rFonts w:hint="default" w:ascii="Times New Roman" w:hAnsi="Times New Roman" w:cs="Times New Roman" w:eastAsiaTheme="minorEastAsia"/>
                <w:bCs/>
                <w:iCs/>
                <w:color w:val="000000"/>
                <w:szCs w:val="21"/>
              </w:rPr>
              <w:sym w:font="Wingdings 2" w:char="00A3"/>
            </w:r>
            <w:r>
              <w:rPr>
                <w:rFonts w:hint="default" w:ascii="Times New Roman" w:hAnsi="Times New Roman" w:cs="Times New Roman" w:eastAsiaTheme="minorEastAsia"/>
                <w:szCs w:val="21"/>
              </w:rPr>
              <w:t xml:space="preserve">现场参观       </w:t>
            </w:r>
            <w:r>
              <w:rPr>
                <w:rFonts w:hint="default" w:ascii="Times New Roman" w:hAnsi="Times New Roman" w:cs="Times New Roman" w:eastAsiaTheme="minorEastAsia"/>
                <w:bCs/>
                <w:iCs/>
                <w:color w:val="000000"/>
                <w:szCs w:val="21"/>
              </w:rPr>
              <w:sym w:font="Wingdings 2" w:char="0052"/>
            </w:r>
            <w:r>
              <w:rPr>
                <w:rFonts w:hint="default" w:ascii="Times New Roman" w:hAnsi="Times New Roman" w:cs="Times New Roman" w:eastAsiaTheme="minorEastAsia"/>
                <w:szCs w:val="21"/>
              </w:rPr>
              <w:t>其他</w:t>
            </w:r>
            <w:r>
              <w:rPr>
                <w:rFonts w:hint="default" w:ascii="Times New Roman" w:hAnsi="Times New Roman" w:cs="Times New Roman" w:eastAsiaTheme="minorEastAsia"/>
                <w:szCs w:val="21"/>
                <w:u w:val="single"/>
                <w:lang w:val="en-US" w:eastAsia="zh-CN"/>
              </w:rPr>
              <w:t xml:space="preserve">  电话会议         </w:t>
            </w:r>
            <w:r>
              <w:rPr>
                <w:rFonts w:hint="default" w:ascii="Times New Roman" w:hAnsi="Times New Roman" w:cs="Times New Roman" w:eastAsia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参与单位名称</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天风证券、中泰证券、国信证券、国盛证券、招商证券、华泰证券、国金证券等200余家机构线上参会，名单详见附件清单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Cs w:val="21"/>
                <w:lang w:eastAsia="zh-CN"/>
              </w:rPr>
            </w:pPr>
            <w:r>
              <w:rPr>
                <w:rFonts w:hint="default" w:ascii="Times New Roman" w:hAnsi="Times New Roman" w:cs="Times New Roman" w:eastAsiaTheme="minorEastAsia"/>
                <w:bCs/>
                <w:iCs/>
                <w:color w:val="000000"/>
                <w:szCs w:val="21"/>
              </w:rPr>
              <w:t>活动名称：</w:t>
            </w:r>
            <w:r>
              <w:rPr>
                <w:rFonts w:hint="default" w:ascii="Times New Roman" w:hAnsi="Times New Roman" w:cs="Times New Roman" w:eastAsiaTheme="minorEastAsia"/>
                <w:bCs/>
                <w:iCs/>
                <w:color w:val="000000"/>
                <w:szCs w:val="21"/>
                <w:lang w:eastAsia="zh-CN"/>
              </w:rPr>
              <w:t>机构投资者电话会议</w:t>
            </w:r>
          </w:p>
          <w:p>
            <w:pPr>
              <w:spacing w:line="360" w:lineRule="auto"/>
              <w:ind w:firstLine="210" w:firstLineChars="100"/>
              <w:rPr>
                <w:rFonts w:hint="default" w:ascii="Times New Roman" w:hAnsi="Times New Roman" w:cs="Times New Roman" w:eastAsiaTheme="minorEastAsia"/>
                <w:bCs/>
                <w:iCs/>
                <w:color w:val="000000"/>
                <w:szCs w:val="21"/>
                <w:lang w:val="en-US" w:eastAsia="zh-CN"/>
              </w:rPr>
            </w:pPr>
            <w:r>
              <w:rPr>
                <w:rFonts w:hint="default" w:ascii="Times New Roman" w:hAnsi="Times New Roman" w:cs="Times New Roman" w:eastAsiaTheme="minorEastAsia"/>
                <w:bCs/>
                <w:iCs/>
                <w:color w:val="000000"/>
                <w:szCs w:val="21"/>
              </w:rPr>
              <w:t>时间：20</w:t>
            </w:r>
            <w:r>
              <w:rPr>
                <w:rFonts w:hint="default" w:ascii="Times New Roman" w:hAnsi="Times New Roman" w:cs="Times New Roman" w:eastAsiaTheme="minorEastAsia"/>
                <w:bCs/>
                <w:iCs/>
                <w:color w:val="000000"/>
                <w:szCs w:val="21"/>
                <w:lang w:val="en-US" w:eastAsia="zh-CN"/>
              </w:rPr>
              <w:t>20</w:t>
            </w:r>
            <w:r>
              <w:rPr>
                <w:rFonts w:hint="default" w:ascii="Times New Roman" w:hAnsi="Times New Roman" w:cs="Times New Roman" w:eastAsiaTheme="minorEastAsia"/>
                <w:bCs/>
                <w:iCs/>
                <w:color w:val="000000"/>
                <w:szCs w:val="21"/>
              </w:rPr>
              <w:t>年</w:t>
            </w:r>
            <w:r>
              <w:rPr>
                <w:rFonts w:hint="default" w:ascii="Times New Roman" w:hAnsi="Times New Roman" w:cs="Times New Roman" w:eastAsiaTheme="minorEastAsia"/>
                <w:bCs/>
                <w:iCs/>
                <w:color w:val="000000"/>
                <w:szCs w:val="21"/>
                <w:lang w:val="en-US" w:eastAsia="zh-CN"/>
              </w:rPr>
              <w:t>3</w:t>
            </w:r>
            <w:r>
              <w:rPr>
                <w:rFonts w:hint="default" w:ascii="Times New Roman" w:hAnsi="Times New Roman" w:cs="Times New Roman" w:eastAsiaTheme="minorEastAsia"/>
                <w:bCs/>
                <w:iCs/>
                <w:color w:val="000000"/>
                <w:szCs w:val="21"/>
              </w:rPr>
              <w:t>月</w:t>
            </w:r>
            <w:r>
              <w:rPr>
                <w:rFonts w:hint="default" w:ascii="Times New Roman" w:hAnsi="Times New Roman" w:cs="Times New Roman" w:eastAsiaTheme="minorEastAsia"/>
                <w:bCs/>
                <w:iCs/>
                <w:color w:val="000000"/>
                <w:szCs w:val="21"/>
                <w:lang w:val="en-US" w:eastAsia="zh-CN"/>
              </w:rPr>
              <w:t>2</w:t>
            </w:r>
            <w:r>
              <w:rPr>
                <w:rFonts w:hint="default" w:ascii="Times New Roman" w:hAnsi="Times New Roman" w:cs="Times New Roman" w:eastAsiaTheme="minorEastAsia"/>
                <w:bCs/>
                <w:iCs/>
                <w:color w:val="000000"/>
                <w:szCs w:val="21"/>
              </w:rPr>
              <w:t>日</w:t>
            </w:r>
            <w:r>
              <w:rPr>
                <w:rFonts w:hint="default" w:ascii="Times New Roman" w:hAnsi="Times New Roman" w:cs="Times New Roman" w:eastAsiaTheme="minorEastAsia"/>
                <w:bCs/>
                <w:iCs/>
                <w:color w:val="000000"/>
                <w:szCs w:val="21"/>
                <w:lang w:val="en-US" w:eastAsia="zh-CN"/>
              </w:rPr>
              <w:t>-2020年3月5日</w:t>
            </w:r>
          </w:p>
          <w:p>
            <w:pPr>
              <w:spacing w:line="360" w:lineRule="auto"/>
              <w:ind w:left="210" w:leftChars="100"/>
              <w:rPr>
                <w:rFonts w:hint="default" w:ascii="Times New Roman" w:hAnsi="Times New Roman" w:cs="Times New Roman" w:eastAsiaTheme="minorEastAsia"/>
                <w:bCs/>
                <w:iCs/>
                <w:color w:val="000000"/>
                <w:szCs w:val="21"/>
                <w:lang w:eastAsia="zh-CN"/>
              </w:rPr>
            </w:pPr>
            <w:r>
              <w:rPr>
                <w:rFonts w:hint="default" w:ascii="Times New Roman" w:hAnsi="Times New Roman" w:cs="Times New Roman" w:eastAsiaTheme="minorEastAsia"/>
                <w:bCs/>
                <w:iCs/>
                <w:color w:val="000000"/>
                <w:szCs w:val="21"/>
              </w:rPr>
              <w:t>地点：</w:t>
            </w:r>
            <w:r>
              <w:rPr>
                <w:rFonts w:hint="default" w:ascii="Times New Roman" w:hAnsi="Times New Roman" w:cs="Times New Roman" w:eastAsiaTheme="minorEastAsia"/>
                <w:bCs/>
                <w:iCs/>
                <w:color w:val="000000"/>
                <w:szCs w:val="21"/>
                <w:lang w:eastAsia="zh-CN"/>
              </w:rPr>
              <w:t>线上交流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hint="default" w:ascii="Times New Roman" w:hAnsi="Times New Roman" w:cs="Times New Roman" w:eastAsiaTheme="minorEastAsia"/>
                <w:bCs/>
                <w:iCs/>
                <w:color w:val="000000"/>
                <w:sz w:val="21"/>
                <w:szCs w:val="21"/>
              </w:rPr>
            </w:pPr>
            <w:r>
              <w:rPr>
                <w:rFonts w:hint="default" w:ascii="Times New Roman" w:hAnsi="Times New Roman" w:cs="Times New Roman" w:eastAsiaTheme="minorEastAsia"/>
                <w:bCs/>
                <w:iCs/>
                <w:color w:val="000000"/>
                <w:sz w:val="21"/>
                <w:szCs w:val="21"/>
              </w:rPr>
              <w:t>高新兴科技集团：</w:t>
            </w:r>
          </w:p>
          <w:p>
            <w:pPr>
              <w:spacing w:line="360" w:lineRule="auto"/>
              <w:ind w:left="210" w:leftChars="100"/>
              <w:rPr>
                <w:rFonts w:hint="default" w:ascii="Times New Roman" w:hAnsi="Times New Roman" w:cs="Times New Roman" w:eastAsiaTheme="minorEastAsia"/>
                <w:bCs/>
                <w:iCs/>
                <w:color w:val="000000"/>
                <w:sz w:val="21"/>
                <w:szCs w:val="21"/>
              </w:rPr>
            </w:pPr>
            <w:r>
              <w:rPr>
                <w:rFonts w:hint="eastAsia" w:ascii="Times New Roman" w:hAnsi="Times New Roman" w:cs="Times New Roman" w:eastAsiaTheme="minorEastAsia"/>
                <w:bCs/>
                <w:iCs/>
                <w:color w:val="000000"/>
                <w:sz w:val="21"/>
                <w:szCs w:val="21"/>
                <w:lang w:eastAsia="zh-CN"/>
              </w:rPr>
              <w:t>副总裁</w:t>
            </w:r>
            <w:r>
              <w:rPr>
                <w:rFonts w:hint="eastAsia" w:ascii="Times New Roman" w:hAnsi="Times New Roman" w:cs="Times New Roman" w:eastAsiaTheme="minorEastAsia"/>
                <w:bCs/>
                <w:iCs/>
                <w:color w:val="000000"/>
                <w:sz w:val="21"/>
                <w:szCs w:val="21"/>
                <w:lang w:val="en-US" w:eastAsia="zh-CN"/>
              </w:rPr>
              <w:t xml:space="preserve"> </w:t>
            </w:r>
            <w:r>
              <w:rPr>
                <w:rFonts w:hint="default" w:ascii="Times New Roman" w:hAnsi="Times New Roman" w:cs="Times New Roman" w:eastAsiaTheme="minorEastAsia"/>
                <w:bCs/>
                <w:iCs/>
                <w:color w:val="000000"/>
                <w:sz w:val="21"/>
                <w:szCs w:val="21"/>
                <w:lang w:eastAsia="zh-CN"/>
              </w:rPr>
              <w:t>董事会秘书</w:t>
            </w:r>
            <w:r>
              <w:rPr>
                <w:rFonts w:hint="default" w:ascii="Times New Roman" w:hAnsi="Times New Roman" w:cs="Times New Roman" w:eastAsiaTheme="minorEastAsia"/>
                <w:bCs/>
                <w:iCs/>
                <w:color w:val="000000"/>
                <w:sz w:val="21"/>
                <w:szCs w:val="21"/>
              </w:rPr>
              <w:t xml:space="preserve"> 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bCs/>
                <w:iCs/>
                <w:color w:val="000000"/>
                <w:szCs w:val="21"/>
              </w:rPr>
            </w:pPr>
            <w:r>
              <w:rPr>
                <w:rFonts w:hint="default" w:ascii="Times New Roman" w:hAnsi="Times New Roman" w:cs="Times New Roman" w:eastAsiaTheme="minorEastAsia"/>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tcPr>
          <w:p>
            <w:pPr>
              <w:numPr>
                <w:ilvl w:val="0"/>
                <w:numId w:val="1"/>
              </w:numPr>
              <w:spacing w:line="360" w:lineRule="auto"/>
              <w:ind w:left="0" w:leftChars="0" w:firstLine="220" w:firstLineChars="0"/>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公司战略</w:t>
            </w:r>
            <w:r>
              <w:rPr>
                <w:rFonts w:hint="default" w:ascii="Times New Roman" w:hAnsi="Times New Roman" w:cs="Times New Roman" w:eastAsiaTheme="minorEastAsia"/>
                <w:b/>
                <w:bCs/>
                <w:sz w:val="21"/>
                <w:szCs w:val="21"/>
                <w:lang w:eastAsia="zh-CN"/>
              </w:rPr>
              <w:t>布局</w:t>
            </w:r>
            <w:r>
              <w:rPr>
                <w:rFonts w:hint="default" w:ascii="Times New Roman" w:hAnsi="Times New Roman" w:cs="Times New Roman" w:eastAsiaTheme="minorEastAsia"/>
                <w:b/>
                <w:bCs/>
                <w:sz w:val="21"/>
                <w:szCs w:val="21"/>
              </w:rPr>
              <w:t>及业务发展情况</w:t>
            </w:r>
            <w:r>
              <w:rPr>
                <w:rFonts w:hint="default" w:ascii="Times New Roman" w:hAnsi="Times New Roman" w:cs="Times New Roman" w:eastAsiaTheme="minorEastAsia"/>
                <w:b/>
                <w:bCs/>
                <w:sz w:val="21"/>
                <w:szCs w:val="21"/>
                <w:lang w:eastAsia="zh-CN"/>
              </w:rPr>
              <w:t>介绍</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自2010年公司上市以来业务一直围绕物联网应用领域开展，公司立足于感知、连接、平台等物联网核心技术的研发和行业应用的拓展，基于多年积累的客户资源和行业经验，选取物联网高价值应用领域，促进公司建立现今的物联网“终端+应用”纵向一体化战略布局。</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sz w:val="21"/>
                <w:szCs w:val="21"/>
                <w:lang w:val="en-US" w:eastAsia="zh-CN"/>
              </w:rPr>
              <w:t>2016-</w:t>
            </w:r>
            <w:r>
              <w:rPr>
                <w:rFonts w:hint="default" w:ascii="Times New Roman" w:hAnsi="Times New Roman" w:cs="Times New Roman" w:eastAsiaTheme="minorEastAsia"/>
                <w:sz w:val="21"/>
                <w:szCs w:val="21"/>
              </w:rPr>
              <w:t>2017年</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lang w:val="en-US" w:eastAsia="zh-CN"/>
              </w:rPr>
              <w:t>公司通过外延并购物联和智联两家公司，奠定了</w:t>
            </w:r>
            <w:r>
              <w:rPr>
                <w:rFonts w:hint="default" w:ascii="Times New Roman" w:hAnsi="Times New Roman" w:cs="Times New Roman" w:eastAsiaTheme="minorEastAsia"/>
                <w:sz w:val="21"/>
                <w:szCs w:val="21"/>
              </w:rPr>
              <w:t>车联网板块</w:t>
            </w:r>
            <w:r>
              <w:rPr>
                <w:rFonts w:hint="default" w:ascii="Times New Roman" w:hAnsi="Times New Roman" w:cs="Times New Roman" w:eastAsiaTheme="minorEastAsia"/>
                <w:sz w:val="21"/>
                <w:szCs w:val="21"/>
                <w:lang w:val="en-US" w:eastAsia="zh-CN"/>
              </w:rPr>
              <w:t>重要的</w:t>
            </w:r>
            <w:r>
              <w:rPr>
                <w:rFonts w:hint="default" w:ascii="Times New Roman" w:hAnsi="Times New Roman" w:cs="Times New Roman" w:eastAsiaTheme="minorEastAsia"/>
                <w:sz w:val="21"/>
                <w:szCs w:val="21"/>
              </w:rPr>
              <w:t>技术和产品</w:t>
            </w:r>
            <w:r>
              <w:rPr>
                <w:rFonts w:hint="default" w:ascii="Times New Roman" w:hAnsi="Times New Roman" w:cs="Times New Roman" w:eastAsiaTheme="minorEastAsia"/>
                <w:sz w:val="21"/>
                <w:szCs w:val="21"/>
                <w:lang w:val="en-US" w:eastAsia="zh-CN"/>
              </w:rPr>
              <w:t>基础</w:t>
            </w: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bCs/>
                <w:iCs/>
                <w:color w:val="000000"/>
                <w:sz w:val="21"/>
                <w:szCs w:val="21"/>
                <w:lang w:eastAsia="zh-CN"/>
              </w:rPr>
              <w:t>2018年起</w:t>
            </w:r>
            <w:r>
              <w:rPr>
                <w:rFonts w:hint="default" w:ascii="Times New Roman" w:hAnsi="Times New Roman" w:cs="Times New Roman" w:eastAsiaTheme="minorEastAsia"/>
                <w:bCs/>
                <w:iCs/>
                <w:color w:val="000000"/>
                <w:sz w:val="21"/>
                <w:szCs w:val="21"/>
                <w:lang w:val="en-US" w:eastAsia="zh-CN"/>
              </w:rPr>
              <w:t>通过</w:t>
            </w:r>
            <w:r>
              <w:rPr>
                <w:rFonts w:hint="default" w:ascii="Times New Roman" w:hAnsi="Times New Roman" w:cs="Times New Roman" w:eastAsiaTheme="minorEastAsia"/>
                <w:bCs/>
                <w:iCs/>
                <w:color w:val="000000"/>
                <w:sz w:val="21"/>
                <w:szCs w:val="21"/>
                <w:lang w:eastAsia="zh-CN"/>
              </w:rPr>
              <w:t>战略</w:t>
            </w:r>
            <w:r>
              <w:rPr>
                <w:rFonts w:hint="default" w:ascii="Times New Roman" w:hAnsi="Times New Roman" w:cs="Times New Roman" w:eastAsiaTheme="minorEastAsia"/>
                <w:bCs/>
                <w:iCs/>
                <w:color w:val="000000"/>
                <w:sz w:val="21"/>
                <w:szCs w:val="21"/>
                <w:lang w:val="en-US" w:eastAsia="zh-CN"/>
              </w:rPr>
              <w:t>重新梳理</w:t>
            </w:r>
            <w:r>
              <w:rPr>
                <w:rFonts w:hint="default" w:ascii="Times New Roman" w:hAnsi="Times New Roman" w:cs="Times New Roman" w:eastAsiaTheme="minorEastAsia"/>
                <w:bCs/>
                <w:iCs/>
                <w:color w:val="000000"/>
                <w:sz w:val="21"/>
                <w:szCs w:val="21"/>
                <w:lang w:eastAsia="zh-CN"/>
              </w:rPr>
              <w:t>，</w:t>
            </w:r>
            <w:r>
              <w:rPr>
                <w:rFonts w:hint="default" w:ascii="Times New Roman" w:hAnsi="Times New Roman" w:cs="Times New Roman" w:eastAsiaTheme="minorEastAsia"/>
                <w:bCs/>
                <w:iCs/>
                <w:color w:val="000000"/>
                <w:sz w:val="21"/>
                <w:szCs w:val="21"/>
                <w:lang w:val="en-US" w:eastAsia="zh-CN"/>
              </w:rPr>
              <w:t>公司明确从多元化发展向聚焦发展转变，</w:t>
            </w:r>
            <w:r>
              <w:rPr>
                <w:rFonts w:hint="default" w:ascii="Times New Roman" w:hAnsi="Times New Roman" w:cs="Times New Roman" w:eastAsiaTheme="minorEastAsia"/>
                <w:bCs/>
                <w:iCs/>
                <w:color w:val="000000"/>
                <w:sz w:val="21"/>
                <w:szCs w:val="21"/>
                <w:lang w:eastAsia="zh-CN"/>
              </w:rPr>
              <w:t>重点聚焦车联网和公安执法规范化两大垂直应用领域，加强相关技术和产品研发投入，持续积淀、提升技术和产品能力。</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随着当前国家相关</w:t>
            </w:r>
            <w:r>
              <w:rPr>
                <w:rFonts w:hint="default" w:ascii="Times New Roman" w:hAnsi="Times New Roman" w:cs="Times New Roman" w:eastAsiaTheme="minorEastAsia"/>
                <w:bCs/>
                <w:iCs/>
                <w:color w:val="000000"/>
                <w:sz w:val="21"/>
                <w:szCs w:val="21"/>
              </w:rPr>
              <w:t>车联网政策</w:t>
            </w:r>
            <w:r>
              <w:rPr>
                <w:rFonts w:hint="default" w:ascii="Times New Roman" w:hAnsi="Times New Roman" w:cs="Times New Roman" w:eastAsiaTheme="minorEastAsia"/>
                <w:bCs/>
                <w:iCs/>
                <w:color w:val="000000"/>
                <w:sz w:val="21"/>
                <w:szCs w:val="21"/>
                <w:lang w:eastAsia="zh-CN"/>
              </w:rPr>
              <w:t>的</w:t>
            </w:r>
            <w:r>
              <w:rPr>
                <w:rFonts w:hint="default" w:ascii="Times New Roman" w:hAnsi="Times New Roman" w:cs="Times New Roman" w:eastAsiaTheme="minorEastAsia"/>
                <w:bCs/>
                <w:iCs/>
                <w:color w:val="000000"/>
                <w:sz w:val="21"/>
                <w:szCs w:val="21"/>
              </w:rPr>
              <w:t>进一步具体和深化</w:t>
            </w:r>
            <w:r>
              <w:rPr>
                <w:rFonts w:hint="default" w:ascii="Times New Roman" w:hAnsi="Times New Roman" w:cs="Times New Roman" w:eastAsiaTheme="minorEastAsia"/>
                <w:bCs/>
                <w:iCs/>
                <w:color w:val="000000"/>
                <w:sz w:val="21"/>
                <w:szCs w:val="21"/>
                <w:lang w:eastAsia="zh-CN"/>
              </w:rPr>
              <w:t>，如</w:t>
            </w:r>
            <w:r>
              <w:rPr>
                <w:rFonts w:hint="default" w:ascii="Times New Roman" w:hAnsi="Times New Roman" w:cs="Times New Roman" w:eastAsiaTheme="minorEastAsia"/>
                <w:bCs/>
                <w:iCs/>
                <w:color w:val="000000"/>
                <w:sz w:val="21"/>
                <w:szCs w:val="21"/>
                <w:lang w:val="en-US" w:eastAsia="zh-CN"/>
              </w:rPr>
              <w:t>11个国家部委联合出台《智能汽车创新发展战略》，</w:t>
            </w:r>
            <w:r>
              <w:rPr>
                <w:rFonts w:hint="default" w:ascii="Times New Roman" w:hAnsi="Times New Roman" w:cs="Times New Roman" w:eastAsiaTheme="minorEastAsia"/>
                <w:bCs/>
                <w:i w:val="0"/>
                <w:iCs/>
                <w:caps w:val="0"/>
                <w:color w:val="000000"/>
                <w:spacing w:val="0"/>
                <w:sz w:val="21"/>
                <w:szCs w:val="21"/>
                <w:shd w:val="clear"/>
              </w:rPr>
              <w:t>5G车联网测试验证逐步完善，5G车联网大规模部署的条件日益成熟</w:t>
            </w:r>
            <w:r>
              <w:rPr>
                <w:rFonts w:hint="default" w:ascii="Times New Roman" w:hAnsi="Times New Roman" w:cs="Times New Roman" w:eastAsiaTheme="minorEastAsia"/>
                <w:bCs/>
                <w:i w:val="0"/>
                <w:iCs/>
                <w:caps w:val="0"/>
                <w:color w:val="000000"/>
                <w:spacing w:val="0"/>
                <w:sz w:val="21"/>
                <w:szCs w:val="21"/>
                <w:shd w:val="clear"/>
                <w:lang w:eastAsia="zh-CN"/>
              </w:rPr>
              <w:t>，车联网产业将获得重大发展机遇</w:t>
            </w:r>
            <w:r>
              <w:rPr>
                <w:rFonts w:hint="default" w:ascii="Times New Roman" w:hAnsi="Times New Roman" w:cs="Times New Roman" w:eastAsiaTheme="minorEastAsia"/>
                <w:bCs/>
                <w:iCs/>
                <w:color w:val="000000"/>
                <w:sz w:val="21"/>
                <w:szCs w:val="21"/>
              </w:rPr>
              <w:t>。</w:t>
            </w:r>
            <w:r>
              <w:rPr>
                <w:rFonts w:hint="default" w:ascii="Times New Roman" w:hAnsi="Times New Roman" w:cs="Times New Roman" w:eastAsiaTheme="minorEastAsia"/>
                <w:bCs/>
                <w:iCs/>
                <w:color w:val="000000"/>
                <w:sz w:val="21"/>
                <w:szCs w:val="21"/>
                <w:lang w:eastAsia="zh-CN"/>
              </w:rPr>
              <w:t>高新兴作为目前国内唯一业务打通车厂、智能交通、5G通信、电子车牌、人工智能的车联网企业，公司通过布局车载终端和电子车牌产业链，并结合自身物联网解决方案及相关应用平台，把握从4G向5G跨越带来的行业机遇，打造了以前装/后装汽车联网终端、汽车电子标识为核心的大交通产品及解决方案序列，覆盖城市交通管理、城市交通运输、公众出行服务等重要领域，打通融合公司多年来在智能交通、车载终端和路侧设备领域积累的技术与能力，形成“车载+路侧设备+解决方案+应用平台”的业务布局。</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在车联网前后装领域，已形成海外+国内市场优势壁垒，实现AT&amp;T、T-Mobile、MOJIO、OCTO等海外运营商、</w:t>
            </w:r>
            <w:r>
              <w:rPr>
                <w:rFonts w:hint="default" w:ascii="Times New Roman" w:hAnsi="Times New Roman" w:cs="Times New Roman" w:eastAsiaTheme="minorEastAsia"/>
                <w:bCs/>
                <w:iCs/>
                <w:color w:val="000000"/>
                <w:sz w:val="21"/>
                <w:szCs w:val="21"/>
                <w:lang w:val="en-US" w:eastAsia="zh-CN"/>
              </w:rPr>
              <w:t>TSP</w:t>
            </w:r>
            <w:r>
              <w:rPr>
                <w:rFonts w:hint="default" w:ascii="Times New Roman" w:hAnsi="Times New Roman" w:cs="Times New Roman" w:eastAsiaTheme="minorEastAsia"/>
                <w:bCs/>
                <w:iCs/>
                <w:color w:val="000000"/>
                <w:sz w:val="21"/>
                <w:szCs w:val="21"/>
                <w:lang w:eastAsia="zh-CN"/>
              </w:rPr>
              <w:t>、以及吉利、长安、比亚迪、延锋伟世通等国内大型整车厂商和国际T1合格供应商部署的突出优势。后装OBD产品正与更多海外运营商达成供应关系，持续拓展欧洲及东南亚等地区运营商；前装 T-Box进入更多国内整车厂商，争取达成与更多国内外T1供应商的合作，为国际一流车厂提供产品和服务。</w:t>
            </w:r>
            <w:r>
              <w:rPr>
                <w:rFonts w:hint="default" w:ascii="Times New Roman" w:hAnsi="Times New Roman" w:cs="Times New Roman" w:eastAsiaTheme="minorEastAsia"/>
                <w:bCs/>
                <w:iCs/>
                <w:color w:val="000000"/>
                <w:sz w:val="21"/>
                <w:szCs w:val="21"/>
                <w:lang w:val="en-US" w:eastAsia="zh-CN"/>
              </w:rPr>
              <w:t>2019年，公司已对外发布5G通信模组及基于LTE-V2X的OBU、RSU终端产品，目前</w:t>
            </w:r>
            <w:r>
              <w:rPr>
                <w:rFonts w:hint="default" w:ascii="Times New Roman" w:hAnsi="Times New Roman" w:cs="Times New Roman" w:eastAsiaTheme="minorEastAsia"/>
                <w:bCs/>
                <w:iCs/>
                <w:color w:val="000000"/>
                <w:sz w:val="21"/>
                <w:szCs w:val="21"/>
                <w:lang w:eastAsia="zh-CN"/>
              </w:rPr>
              <w:t>公司正在持续跟踪高通</w:t>
            </w:r>
            <w:r>
              <w:rPr>
                <w:rFonts w:hint="default" w:ascii="Times New Roman" w:hAnsi="Times New Roman" w:cs="Times New Roman" w:eastAsiaTheme="minorEastAsia"/>
                <w:bCs/>
                <w:iCs/>
                <w:color w:val="000000"/>
                <w:sz w:val="21"/>
                <w:szCs w:val="21"/>
                <w:lang w:val="en-US" w:eastAsia="zh-CN"/>
              </w:rPr>
              <w:t>5G AUTO版本（5G-V2X）芯片平台的进展，</w:t>
            </w:r>
            <w:r>
              <w:rPr>
                <w:rFonts w:hint="default" w:ascii="Times New Roman" w:hAnsi="Times New Roman" w:cs="Times New Roman" w:eastAsiaTheme="minorEastAsia"/>
                <w:bCs/>
                <w:iCs/>
                <w:color w:val="000000"/>
                <w:sz w:val="21"/>
                <w:szCs w:val="21"/>
                <w:lang w:eastAsia="zh-CN"/>
              </w:rPr>
              <w:t>是高通全球首个阿尔法客户，</w:t>
            </w:r>
            <w:r>
              <w:rPr>
                <w:rFonts w:hint="default" w:ascii="Times New Roman" w:hAnsi="Times New Roman" w:cs="Times New Roman" w:eastAsiaTheme="minorEastAsia"/>
                <w:bCs/>
                <w:iCs/>
                <w:color w:val="000000"/>
                <w:sz w:val="21"/>
                <w:szCs w:val="21"/>
                <w:lang w:val="en-US" w:eastAsia="zh-CN"/>
              </w:rPr>
              <w:t>在</w:t>
            </w:r>
            <w:r>
              <w:rPr>
                <w:rFonts w:hint="default" w:ascii="Times New Roman" w:hAnsi="Times New Roman" w:cs="Times New Roman" w:eastAsiaTheme="minorEastAsia"/>
                <w:bCs/>
                <w:iCs/>
                <w:color w:val="000000"/>
                <w:sz w:val="21"/>
                <w:szCs w:val="21"/>
                <w:lang w:eastAsia="zh-CN"/>
              </w:rPr>
              <w:t>研发基于5G</w:t>
            </w:r>
            <w:r>
              <w:rPr>
                <w:rFonts w:hint="default" w:ascii="Times New Roman" w:hAnsi="Times New Roman" w:cs="Times New Roman" w:eastAsiaTheme="minorEastAsia"/>
                <w:bCs/>
                <w:iCs/>
                <w:color w:val="000000"/>
                <w:sz w:val="21"/>
                <w:szCs w:val="21"/>
                <w:lang w:val="en-US" w:eastAsia="zh-CN"/>
              </w:rPr>
              <w:t>-</w:t>
            </w:r>
            <w:r>
              <w:rPr>
                <w:rFonts w:hint="default" w:ascii="Times New Roman" w:hAnsi="Times New Roman" w:cs="Times New Roman" w:eastAsiaTheme="minorEastAsia"/>
                <w:bCs/>
                <w:iCs/>
                <w:color w:val="000000"/>
                <w:sz w:val="21"/>
                <w:szCs w:val="21"/>
                <w:lang w:eastAsia="zh-CN"/>
              </w:rPr>
              <w:t>V2X</w:t>
            </w:r>
            <w:r>
              <w:rPr>
                <w:rFonts w:hint="default" w:ascii="Times New Roman" w:hAnsi="Times New Roman" w:cs="Times New Roman" w:eastAsiaTheme="minorEastAsia"/>
                <w:bCs/>
                <w:iCs/>
                <w:color w:val="000000"/>
                <w:sz w:val="21"/>
                <w:szCs w:val="21"/>
                <w:lang w:val="en-US" w:eastAsia="zh-CN"/>
              </w:rPr>
              <w:t>技术的</w:t>
            </w:r>
            <w:r>
              <w:rPr>
                <w:rFonts w:hint="default" w:ascii="Times New Roman" w:hAnsi="Times New Roman" w:cs="Times New Roman" w:eastAsiaTheme="minorEastAsia"/>
                <w:bCs/>
                <w:iCs/>
                <w:color w:val="000000"/>
                <w:sz w:val="21"/>
                <w:szCs w:val="21"/>
                <w:lang w:eastAsia="zh-CN"/>
              </w:rPr>
              <w:t>模组、</w:t>
            </w:r>
            <w:r>
              <w:rPr>
                <w:rFonts w:hint="default" w:ascii="Times New Roman" w:hAnsi="Times New Roman" w:cs="Times New Roman" w:eastAsiaTheme="minorEastAsia"/>
                <w:bCs/>
                <w:iCs/>
                <w:color w:val="000000"/>
                <w:sz w:val="21"/>
                <w:szCs w:val="21"/>
                <w:lang w:val="en-US" w:eastAsia="zh-CN"/>
              </w:rPr>
              <w:t>OBU、RSU上具备先发优势</w:t>
            </w:r>
            <w:r>
              <w:rPr>
                <w:rFonts w:hint="default" w:ascii="Times New Roman" w:hAnsi="Times New Roman" w:cs="Times New Roman" w:eastAsiaTheme="minorEastAsia"/>
                <w:bCs/>
                <w:iCs/>
                <w:color w:val="000000"/>
                <w:sz w:val="21"/>
                <w:szCs w:val="21"/>
                <w:lang w:eastAsia="zh-CN"/>
              </w:rPr>
              <w:t>，预计是全球首批5G C-V2X的商用落地项目。公司依托现有车联网终端和电子车牌相关技术，向C-V2X车载设备和路侧设备布局，把握从4G到5G时代C-V2X带来的行业机遇。</w:t>
            </w:r>
          </w:p>
          <w:p>
            <w:pPr>
              <w:spacing w:line="240" w:lineRule="auto"/>
              <w:ind w:left="210" w:leftChars="100" w:firstLine="525" w:firstLineChars="25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另一方面，随着近年来</w:t>
            </w:r>
            <w:r>
              <w:rPr>
                <w:rFonts w:hint="default" w:ascii="Times New Roman" w:hAnsi="Times New Roman" w:cs="Times New Roman" w:eastAsiaTheme="minorEastAsia"/>
                <w:b w:val="0"/>
                <w:bCs/>
                <w:i w:val="0"/>
                <w:iCs/>
                <w:caps w:val="0"/>
                <w:color w:val="000000"/>
                <w:spacing w:val="0"/>
                <w:sz w:val="21"/>
                <w:szCs w:val="21"/>
                <w:shd w:val="clear"/>
              </w:rPr>
              <w:t>国家大力推行执法全过程记录制度和全面推行行政执法信息化建设，执法规范化和信息化进程越趋重要</w:t>
            </w:r>
            <w:r>
              <w:rPr>
                <w:rFonts w:hint="default" w:ascii="Times New Roman" w:hAnsi="Times New Roman" w:cs="Times New Roman" w:eastAsiaTheme="minorEastAsia"/>
                <w:b w:val="0"/>
                <w:bCs/>
                <w:i w:val="0"/>
                <w:iCs/>
                <w:caps w:val="0"/>
                <w:color w:val="000000"/>
                <w:spacing w:val="0"/>
                <w:sz w:val="21"/>
                <w:szCs w:val="21"/>
                <w:shd w:val="clear"/>
                <w:lang w:eastAsia="zh-CN"/>
              </w:rPr>
              <w:t>，公安执法规范化领域迎来巨大的市场空间。</w:t>
            </w:r>
            <w:r>
              <w:rPr>
                <w:rFonts w:hint="default" w:ascii="Times New Roman" w:hAnsi="Times New Roman" w:cs="Times New Roman" w:eastAsiaTheme="minorEastAsia"/>
                <w:bCs/>
                <w:iCs/>
                <w:color w:val="000000"/>
                <w:sz w:val="21"/>
                <w:szCs w:val="21"/>
                <w:lang w:eastAsia="zh-CN"/>
              </w:rPr>
              <w:t>公司在</w:t>
            </w:r>
            <w:r>
              <w:rPr>
                <w:rFonts w:hint="default" w:ascii="Times New Roman" w:hAnsi="Times New Roman" w:cs="Times New Roman" w:eastAsiaTheme="minorEastAsia"/>
                <w:bCs/>
                <w:iCs/>
                <w:color w:val="000000"/>
                <w:sz w:val="21"/>
                <w:szCs w:val="21"/>
                <w:lang w:val="en-US" w:eastAsia="zh-CN"/>
              </w:rPr>
              <w:t>已有的</w:t>
            </w:r>
            <w:r>
              <w:rPr>
                <w:rFonts w:hint="default" w:ascii="Times New Roman" w:hAnsi="Times New Roman" w:cs="Times New Roman" w:eastAsiaTheme="minorEastAsia"/>
                <w:bCs/>
                <w:iCs/>
                <w:color w:val="000000"/>
                <w:sz w:val="21"/>
                <w:szCs w:val="21"/>
                <w:lang w:eastAsia="zh-CN"/>
              </w:rPr>
              <w:t>公安客户</w:t>
            </w:r>
            <w:r>
              <w:rPr>
                <w:rFonts w:hint="default" w:ascii="Times New Roman" w:hAnsi="Times New Roman" w:cs="Times New Roman" w:eastAsiaTheme="minorEastAsia"/>
                <w:bCs/>
                <w:iCs/>
                <w:color w:val="000000"/>
                <w:sz w:val="21"/>
                <w:szCs w:val="21"/>
                <w:lang w:val="en-US" w:eastAsia="zh-CN"/>
              </w:rPr>
              <w:t>资源</w:t>
            </w:r>
            <w:r>
              <w:rPr>
                <w:rFonts w:hint="default" w:ascii="Times New Roman" w:hAnsi="Times New Roman" w:cs="Times New Roman" w:eastAsiaTheme="minorEastAsia"/>
                <w:bCs/>
                <w:iCs/>
                <w:color w:val="000000"/>
                <w:sz w:val="21"/>
                <w:szCs w:val="21"/>
                <w:lang w:eastAsia="zh-CN"/>
              </w:rPr>
              <w:t>及现有的大数据、视频技术、人工智能技术积累的基础上，布局公安执法规范化领域。</w:t>
            </w:r>
            <w:r>
              <w:rPr>
                <w:rFonts w:hint="default" w:ascii="Times New Roman" w:hAnsi="Times New Roman" w:cs="Times New Roman" w:eastAsiaTheme="minorEastAsia"/>
                <w:bCs/>
                <w:iCs/>
                <w:color w:val="000000"/>
                <w:sz w:val="21"/>
                <w:szCs w:val="21"/>
                <w:lang w:val="en-US" w:eastAsia="zh-CN"/>
              </w:rPr>
              <w:t>公司推出“55423”智慧执法体系，</w:t>
            </w:r>
            <w:r>
              <w:rPr>
                <w:rFonts w:hint="default" w:ascii="Times New Roman" w:hAnsi="Times New Roman" w:cs="Times New Roman" w:eastAsiaTheme="minorEastAsia"/>
                <w:bCs/>
                <w:iCs/>
                <w:color w:val="000000"/>
                <w:sz w:val="21"/>
                <w:szCs w:val="21"/>
                <w:lang w:eastAsia="zh-CN"/>
              </w:rPr>
              <w:t>重点打造较完整的</w:t>
            </w:r>
            <w:r>
              <w:rPr>
                <w:rFonts w:hint="default" w:ascii="Times New Roman" w:hAnsi="Times New Roman" w:cs="Times New Roman" w:eastAsiaTheme="minorEastAsia"/>
                <w:b w:val="0"/>
                <w:bCs/>
                <w:i w:val="0"/>
                <w:iCs/>
                <w:caps w:val="0"/>
                <w:color w:val="000000"/>
                <w:spacing w:val="0"/>
                <w:sz w:val="21"/>
                <w:szCs w:val="21"/>
                <w:shd w:val="clear"/>
              </w:rPr>
              <w:t>“云+端”</w:t>
            </w:r>
            <w:r>
              <w:rPr>
                <w:rFonts w:hint="default" w:ascii="Times New Roman" w:hAnsi="Times New Roman" w:cs="Times New Roman" w:eastAsiaTheme="minorEastAsia"/>
                <w:bCs/>
                <w:iCs/>
                <w:color w:val="000000"/>
                <w:sz w:val="21"/>
                <w:szCs w:val="21"/>
                <w:lang w:eastAsia="zh-CN"/>
              </w:rPr>
              <w:t>解决方案，包括智慧执法平台、</w:t>
            </w:r>
            <w:r>
              <w:rPr>
                <w:rFonts w:hint="default" w:ascii="Times New Roman" w:hAnsi="Times New Roman" w:cs="Times New Roman" w:eastAsiaTheme="minorEastAsia"/>
                <w:b w:val="0"/>
                <w:bCs/>
                <w:i w:val="0"/>
                <w:iCs/>
                <w:caps w:val="0"/>
                <w:color w:val="000000"/>
                <w:spacing w:val="0"/>
                <w:sz w:val="21"/>
                <w:szCs w:val="21"/>
                <w:shd w:val="clear"/>
              </w:rPr>
              <w:t>智慧执法管理平台</w:t>
            </w:r>
            <w:r>
              <w:rPr>
                <w:rFonts w:hint="default" w:ascii="Times New Roman" w:hAnsi="Times New Roman" w:cs="Times New Roman" w:eastAsiaTheme="minorEastAsia"/>
                <w:b w:val="0"/>
                <w:bCs/>
                <w:i w:val="0"/>
                <w:iCs/>
                <w:caps w:val="0"/>
                <w:color w:val="000000"/>
                <w:spacing w:val="0"/>
                <w:sz w:val="21"/>
                <w:szCs w:val="21"/>
                <w:shd w:val="clear"/>
                <w:lang w:eastAsia="zh-CN"/>
              </w:rPr>
              <w:t>、</w:t>
            </w:r>
            <w:r>
              <w:rPr>
                <w:rFonts w:hint="default" w:ascii="Times New Roman" w:hAnsi="Times New Roman" w:cs="Times New Roman" w:eastAsiaTheme="minorEastAsia"/>
                <w:bCs/>
                <w:iCs/>
                <w:color w:val="000000"/>
                <w:sz w:val="21"/>
                <w:szCs w:val="21"/>
                <w:lang w:eastAsia="zh-CN"/>
              </w:rPr>
              <w:t>智能办案场所产品及方案、移动执法视音频系统、AR实景大数据等，积极开拓以智慧执法体系为核心的执法规范化系列产品和解决方案，</w:t>
            </w:r>
            <w:r>
              <w:rPr>
                <w:rFonts w:hint="default" w:ascii="Times New Roman" w:hAnsi="Times New Roman" w:cs="Times New Roman" w:eastAsiaTheme="minorEastAsia"/>
                <w:bCs/>
                <w:i w:val="0"/>
                <w:iCs/>
                <w:caps w:val="0"/>
                <w:color w:val="000000"/>
                <w:spacing w:val="0"/>
                <w:sz w:val="21"/>
                <w:szCs w:val="21"/>
                <w:shd w:val="clear"/>
              </w:rPr>
              <w:t>从规范执法办案的每一个环节着手，进而规范全过程执法行为、理顺全流程执法机制、落实全环节执法监管，切实提高执法办案质量</w:t>
            </w:r>
            <w:r>
              <w:rPr>
                <w:rFonts w:hint="default" w:ascii="Times New Roman" w:hAnsi="Times New Roman" w:cs="Times New Roman" w:eastAsiaTheme="minorEastAsia"/>
                <w:bCs/>
                <w:i w:val="0"/>
                <w:iCs/>
                <w:caps w:val="0"/>
                <w:color w:val="000000"/>
                <w:spacing w:val="0"/>
                <w:sz w:val="21"/>
                <w:szCs w:val="21"/>
                <w:shd w:val="clear"/>
                <w:lang w:eastAsia="zh-CN"/>
              </w:rPr>
              <w:t>，</w:t>
            </w:r>
            <w:r>
              <w:rPr>
                <w:rFonts w:hint="default" w:ascii="Times New Roman" w:hAnsi="Times New Roman" w:cs="Times New Roman" w:eastAsiaTheme="minorEastAsia"/>
                <w:bCs/>
                <w:iCs/>
                <w:color w:val="000000"/>
                <w:sz w:val="21"/>
                <w:szCs w:val="21"/>
                <w:lang w:eastAsia="zh-CN"/>
              </w:rPr>
              <w:t>具备了较强的产品及方案竞争力，并具备了较好的销售规模和市场基础，成功拿下了多个区域性办案区执法规范化项目，在多个地级市开通了试验局，多个省份成功建立了样板点，促进公司战略深化及业绩稳健发展。</w:t>
            </w:r>
          </w:p>
          <w:p>
            <w:pPr>
              <w:spacing w:line="240" w:lineRule="auto"/>
              <w:ind w:left="210" w:leftChars="100" w:firstLine="525" w:firstLineChars="25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Cs/>
                <w:iCs/>
                <w:color w:val="000000"/>
                <w:sz w:val="21"/>
                <w:szCs w:val="21"/>
                <w:lang w:eastAsia="zh-CN"/>
              </w:rPr>
              <w:t>面对此次疫情，公司也在原有公安优势产品的基础上，针对疫情防控，重点升级和部署了多套产品和解决方案，包括远程律师会见、远程提讯系统、疫情大数据防控平台、涉疫区车辆管控平台等，这些产品和方案目前在全国多地投入使用，用高科技助力疫情防控。</w:t>
            </w:r>
          </w:p>
          <w:p>
            <w:pPr>
              <w:ind w:left="210" w:leftChars="100" w:firstLine="420" w:firstLineChars="200"/>
              <w:rPr>
                <w:rFonts w:hint="default" w:ascii="Times New Roman" w:hAnsi="Times New Roman" w:cs="Times New Roman" w:eastAsiaTheme="minorEastAsia"/>
                <w:bCs/>
                <w:iCs/>
                <w:color w:val="000000"/>
                <w:sz w:val="21"/>
                <w:szCs w:val="21"/>
                <w:lang w:eastAsia="zh-CN"/>
              </w:rPr>
            </w:pPr>
          </w:p>
          <w:p>
            <w:pPr>
              <w:numPr>
                <w:ilvl w:val="0"/>
                <w:numId w:val="1"/>
              </w:numPr>
              <w:spacing w:line="360" w:lineRule="auto"/>
              <w:ind w:left="0" w:leftChars="0" w:firstLine="220" w:firstLineChars="0"/>
              <w:rPr>
                <w:rFonts w:hint="default" w:ascii="Times New Roman" w:hAnsi="Times New Roman" w:cs="Times New Roman" w:eastAsiaTheme="minorEastAsia"/>
                <w:b/>
                <w:iCs/>
                <w:color w:val="000000"/>
                <w:sz w:val="21"/>
                <w:szCs w:val="21"/>
              </w:rPr>
            </w:pPr>
            <w:r>
              <w:rPr>
                <w:rFonts w:hint="default" w:ascii="Times New Roman" w:hAnsi="Times New Roman" w:cs="Times New Roman" w:eastAsiaTheme="minorEastAsia"/>
                <w:b/>
                <w:bCs/>
                <w:sz w:val="21"/>
                <w:szCs w:val="21"/>
                <w:lang w:eastAsia="zh-CN"/>
              </w:rPr>
              <w:t>公司</w:t>
            </w:r>
            <w:r>
              <w:rPr>
                <w:rFonts w:hint="default" w:ascii="Times New Roman" w:hAnsi="Times New Roman" w:cs="Times New Roman" w:eastAsiaTheme="minorEastAsia"/>
                <w:b/>
                <w:bCs/>
                <w:sz w:val="21"/>
                <w:szCs w:val="21"/>
                <w:lang w:val="en-US" w:eastAsia="zh-CN"/>
              </w:rPr>
              <w:t>2019年</w:t>
            </w:r>
            <w:r>
              <w:rPr>
                <w:rFonts w:hint="default" w:ascii="Times New Roman" w:hAnsi="Times New Roman" w:cs="Times New Roman" w:eastAsiaTheme="minorEastAsia"/>
                <w:b/>
                <w:bCs/>
                <w:sz w:val="21"/>
                <w:szCs w:val="21"/>
                <w:lang w:eastAsia="zh-CN"/>
              </w:rPr>
              <w:t>车联网技术发展情况及</w:t>
            </w:r>
            <w:r>
              <w:rPr>
                <w:rFonts w:hint="default" w:ascii="Times New Roman" w:hAnsi="Times New Roman" w:cs="Times New Roman" w:eastAsiaTheme="minorEastAsia"/>
                <w:b/>
                <w:bCs/>
                <w:sz w:val="21"/>
                <w:szCs w:val="21"/>
                <w:lang w:val="en-US" w:eastAsia="zh-CN"/>
              </w:rPr>
              <w:t>2020年展望</w:t>
            </w:r>
          </w:p>
          <w:p>
            <w:pPr>
              <w:spacing w:line="240" w:lineRule="auto"/>
              <w:ind w:left="210" w:leftChars="0" w:firstLine="420" w:firstLineChars="20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2019年</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sz w:val="21"/>
                <w:szCs w:val="21"/>
              </w:rPr>
              <w:t>公司在车联网领域</w:t>
            </w:r>
            <w:r>
              <w:rPr>
                <w:rFonts w:hint="default" w:ascii="Times New Roman" w:hAnsi="Times New Roman" w:cs="Times New Roman" w:eastAsiaTheme="minorEastAsia"/>
                <w:sz w:val="21"/>
                <w:szCs w:val="21"/>
                <w:lang w:eastAsia="zh-CN"/>
              </w:rPr>
              <w:t>的技术研发和产品推进进度</w:t>
            </w:r>
            <w:r>
              <w:rPr>
                <w:rFonts w:hint="default" w:ascii="Times New Roman" w:hAnsi="Times New Roman" w:cs="Times New Roman" w:eastAsiaTheme="minorEastAsia"/>
                <w:sz w:val="21"/>
                <w:szCs w:val="21"/>
              </w:rPr>
              <w:t>基本上符合预期</w:t>
            </w:r>
            <w:r>
              <w:rPr>
                <w:rFonts w:hint="default" w:ascii="Times New Roman" w:hAnsi="Times New Roman" w:cs="Times New Roman" w:eastAsiaTheme="minorEastAsia"/>
                <w:sz w:val="21"/>
                <w:szCs w:val="21"/>
                <w:lang w:eastAsia="zh-CN"/>
              </w:rPr>
              <w:t>。</w:t>
            </w:r>
          </w:p>
          <w:p>
            <w:pPr>
              <w:spacing w:line="240" w:lineRule="auto"/>
              <w:ind w:left="210" w:leftChars="10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sz w:val="21"/>
                <w:szCs w:val="21"/>
              </w:rPr>
              <w:t>在技术规划</w:t>
            </w:r>
            <w:r>
              <w:rPr>
                <w:rFonts w:hint="default" w:ascii="Times New Roman" w:hAnsi="Times New Roman" w:cs="Times New Roman" w:eastAsiaTheme="minorEastAsia"/>
                <w:sz w:val="21"/>
                <w:szCs w:val="21"/>
                <w:lang w:eastAsia="zh-CN"/>
              </w:rPr>
              <w:t>和产品研发方面，</w:t>
            </w:r>
            <w:r>
              <w:rPr>
                <w:rFonts w:hint="default" w:ascii="Times New Roman" w:hAnsi="Times New Roman" w:cs="Times New Roman" w:eastAsiaTheme="minorEastAsia"/>
                <w:sz w:val="21"/>
                <w:szCs w:val="21"/>
              </w:rPr>
              <w:t>充分考虑4G向5G的</w:t>
            </w:r>
            <w:r>
              <w:rPr>
                <w:rFonts w:hint="default" w:ascii="Times New Roman" w:hAnsi="Times New Roman" w:cs="Times New Roman" w:eastAsiaTheme="minorEastAsia"/>
                <w:sz w:val="21"/>
                <w:szCs w:val="21"/>
                <w:lang w:eastAsia="zh-CN"/>
              </w:rPr>
              <w:t>迭代升级</w:t>
            </w:r>
            <w:r>
              <w:rPr>
                <w:rFonts w:hint="default" w:ascii="Times New Roman" w:hAnsi="Times New Roman" w:cs="Times New Roman" w:eastAsiaTheme="minorEastAsia"/>
                <w:sz w:val="21"/>
                <w:szCs w:val="21"/>
                <w:lang w:val="en-US" w:eastAsia="zh-CN"/>
              </w:rPr>
              <w:t>及C-V2X技术的落地应用试验，</w:t>
            </w:r>
            <w:r>
              <w:rPr>
                <w:rFonts w:hint="default" w:ascii="Times New Roman" w:hAnsi="Times New Roman" w:cs="Times New Roman" w:eastAsiaTheme="minorEastAsia"/>
                <w:sz w:val="21"/>
                <w:szCs w:val="21"/>
                <w:lang w:eastAsia="zh-CN"/>
              </w:rPr>
              <w:t>公司</w:t>
            </w:r>
            <w:r>
              <w:rPr>
                <w:rFonts w:hint="default" w:ascii="Times New Roman" w:hAnsi="Times New Roman" w:cs="Times New Roman" w:eastAsiaTheme="minorEastAsia"/>
                <w:sz w:val="21"/>
                <w:szCs w:val="21"/>
                <w:lang w:val="en-US" w:eastAsia="zh-CN"/>
              </w:rPr>
              <w:t>计划</w:t>
            </w:r>
            <w:r>
              <w:rPr>
                <w:rFonts w:hint="default" w:ascii="Times New Roman" w:hAnsi="Times New Roman" w:cs="Times New Roman" w:eastAsiaTheme="minorEastAsia"/>
                <w:sz w:val="21"/>
                <w:szCs w:val="21"/>
              </w:rPr>
              <w:t>在两年</w:t>
            </w:r>
            <w:r>
              <w:rPr>
                <w:rFonts w:hint="default" w:ascii="Times New Roman" w:hAnsi="Times New Roman" w:cs="Times New Roman" w:eastAsiaTheme="minorEastAsia"/>
                <w:sz w:val="21"/>
                <w:szCs w:val="21"/>
                <w:lang w:eastAsia="zh-CN"/>
              </w:rPr>
              <w:t>时间内</w:t>
            </w:r>
            <w:r>
              <w:rPr>
                <w:rFonts w:hint="default" w:ascii="Times New Roman" w:hAnsi="Times New Roman" w:cs="Times New Roman" w:eastAsiaTheme="minorEastAsia"/>
                <w:sz w:val="21"/>
                <w:szCs w:val="21"/>
              </w:rPr>
              <w:t>为“5G和C-V2X产品研发项目”逐步投入2.1</w:t>
            </w:r>
            <w:r>
              <w:rPr>
                <w:rFonts w:hint="default"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rPr>
              <w:t>亿元</w:t>
            </w:r>
            <w:r>
              <w:rPr>
                <w:rFonts w:hint="default" w:ascii="Times New Roman" w:hAnsi="Times New Roman" w:cs="Times New Roman" w:eastAsiaTheme="minorEastAsia"/>
                <w:sz w:val="21"/>
                <w:szCs w:val="21"/>
                <w:lang w:eastAsia="zh-CN"/>
              </w:rPr>
              <w:t>募集资金</w:t>
            </w:r>
            <w:r>
              <w:rPr>
                <w:rFonts w:hint="default" w:ascii="Times New Roman" w:hAnsi="Times New Roman" w:cs="Times New Roman" w:eastAsiaTheme="minorEastAsia"/>
                <w:sz w:val="21"/>
                <w:szCs w:val="21"/>
              </w:rPr>
              <w:t>，覆盖5G通信模组、C-V2X、智能宽带及RSU</w:t>
            </w:r>
            <w:r>
              <w:rPr>
                <w:rFonts w:hint="default" w:ascii="Times New Roman" w:hAnsi="Times New Roman" w:cs="Times New Roman" w:eastAsiaTheme="minorEastAsia"/>
                <w:sz w:val="21"/>
                <w:szCs w:val="21"/>
                <w:lang w:eastAsia="zh-CN"/>
              </w:rPr>
              <w:t>产品项目</w:t>
            </w:r>
            <w:r>
              <w:rPr>
                <w:rFonts w:hint="default" w:ascii="Times New Roman" w:hAnsi="Times New Roman" w:cs="Times New Roman" w:eastAsiaTheme="minorEastAsia"/>
                <w:sz w:val="21"/>
                <w:szCs w:val="21"/>
              </w:rPr>
              <w:t>等。</w:t>
            </w:r>
            <w:r>
              <w:rPr>
                <w:rFonts w:hint="default" w:ascii="Times New Roman" w:hAnsi="Times New Roman" w:cs="Times New Roman" w:eastAsiaTheme="minorEastAsia"/>
                <w:sz w:val="21"/>
                <w:szCs w:val="21"/>
                <w:lang w:val="en-US" w:eastAsia="zh-CN"/>
              </w:rPr>
              <w:t>2019年6月，公司在上海世界移动通信大会中推出</w:t>
            </w:r>
            <w:r>
              <w:rPr>
                <w:rFonts w:hint="default" w:ascii="Times New Roman" w:hAnsi="Times New Roman" w:cs="Times New Roman" w:eastAsiaTheme="minorEastAsia"/>
                <w:bCs/>
                <w:iCs/>
                <w:color w:val="000000"/>
                <w:sz w:val="21"/>
                <w:szCs w:val="21"/>
                <w:lang w:eastAsia="zh-CN"/>
              </w:rPr>
              <w:t>基于高通芯片平台开发的5G基础通信模组</w:t>
            </w:r>
            <w:r>
              <w:rPr>
                <w:rFonts w:hint="default" w:ascii="Times New Roman" w:hAnsi="Times New Roman" w:cs="Times New Roman" w:eastAsiaTheme="minorEastAsia"/>
                <w:bCs/>
                <w:iCs/>
                <w:color w:val="000000"/>
                <w:sz w:val="21"/>
                <w:szCs w:val="21"/>
                <w:highlight w:val="none"/>
                <w:lang w:eastAsia="zh-CN"/>
              </w:rPr>
              <w:t>以及搭载</w:t>
            </w:r>
            <w:r>
              <w:rPr>
                <w:rFonts w:hint="default" w:ascii="Times New Roman" w:hAnsi="Times New Roman" w:cs="Times New Roman" w:eastAsiaTheme="minorEastAsia"/>
                <w:bCs/>
                <w:iCs/>
                <w:color w:val="000000"/>
                <w:sz w:val="21"/>
                <w:szCs w:val="21"/>
                <w:highlight w:val="none"/>
                <w:lang w:val="en-US" w:eastAsia="zh-CN"/>
              </w:rPr>
              <w:t>LTE-V2X的车载终端及LTE-V2X路侧设备等产品</w:t>
            </w:r>
            <w:r>
              <w:rPr>
                <w:rFonts w:hint="default" w:ascii="Times New Roman" w:hAnsi="Times New Roman" w:cs="Times New Roman" w:eastAsiaTheme="minorEastAsia"/>
                <w:sz w:val="21"/>
                <w:szCs w:val="21"/>
                <w:lang w:eastAsia="zh-CN"/>
              </w:rPr>
              <w:t>。</w:t>
            </w:r>
            <w:r>
              <w:rPr>
                <w:rFonts w:hint="default" w:ascii="Times New Roman" w:hAnsi="Times New Roman" w:cs="Times New Roman" w:eastAsiaTheme="minorEastAsia"/>
                <w:bCs/>
                <w:iCs/>
                <w:color w:val="000000"/>
                <w:sz w:val="21"/>
                <w:szCs w:val="21"/>
                <w:lang w:val="en-US" w:eastAsia="zh-CN"/>
              </w:rPr>
              <w:t>同时公司基于全国智慧城市及智慧交通建设的经验和优势，在5G及车联网商业进程加速的时期，提出了面向城市级及城际的全场景解决方案，是行业首次提出了“点-线-区”的车联网城市级解决方案。</w:t>
            </w:r>
          </w:p>
          <w:p>
            <w:pPr>
              <w:spacing w:line="240" w:lineRule="auto"/>
              <w:ind w:left="210" w:leftChars="0" w:firstLine="420" w:firstLineChars="20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在合作伙伴方面，2019</w:t>
            </w:r>
            <w:r>
              <w:rPr>
                <w:rFonts w:hint="default" w:ascii="Times New Roman" w:hAnsi="Times New Roman" w:cs="Times New Roman" w:eastAsiaTheme="minorEastAsia"/>
                <w:sz w:val="21"/>
                <w:szCs w:val="21"/>
              </w:rPr>
              <w:t>年初，</w:t>
            </w:r>
            <w:r>
              <w:rPr>
                <w:rFonts w:hint="default" w:ascii="Times New Roman" w:hAnsi="Times New Roman" w:cs="Times New Roman" w:eastAsiaTheme="minorEastAsia"/>
                <w:sz w:val="21"/>
                <w:szCs w:val="21"/>
                <w:lang w:eastAsia="zh-CN"/>
              </w:rPr>
              <w:t>公司与吉利、</w:t>
            </w:r>
            <w:r>
              <w:rPr>
                <w:rFonts w:hint="default" w:ascii="Times New Roman" w:hAnsi="Times New Roman" w:cs="Times New Roman" w:eastAsiaTheme="minorEastAsia"/>
                <w:sz w:val="21"/>
                <w:szCs w:val="21"/>
              </w:rPr>
              <w:t>高通宣布将于2021年发布吉利全球首批支持5G和C-V2X的量产车型，</w:t>
            </w:r>
            <w:r>
              <w:rPr>
                <w:rFonts w:hint="default" w:ascii="Times New Roman" w:hAnsi="Times New Roman" w:cs="Times New Roman" w:eastAsiaTheme="minorEastAsia"/>
                <w:sz w:val="21"/>
                <w:szCs w:val="21"/>
                <w:lang w:eastAsia="zh-CN"/>
              </w:rPr>
              <w:t>公司</w:t>
            </w:r>
            <w:r>
              <w:rPr>
                <w:rFonts w:hint="default" w:ascii="Times New Roman" w:hAnsi="Times New Roman" w:cs="Times New Roman" w:eastAsiaTheme="minorEastAsia"/>
                <w:sz w:val="21"/>
                <w:szCs w:val="21"/>
              </w:rPr>
              <w:t>将为这些量产车型提供5G和C-V2X产品</w:t>
            </w:r>
            <w:r>
              <w:rPr>
                <w:rFonts w:hint="default" w:ascii="Times New Roman" w:hAnsi="Times New Roman" w:cs="Times New Roman" w:eastAsiaTheme="minorEastAsia"/>
                <w:sz w:val="21"/>
                <w:szCs w:val="21"/>
                <w:lang w:eastAsia="zh-CN"/>
              </w:rPr>
              <w:t>。</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在行业标准建设方面，公司作为IMT-2020 C-V2X工作组、5G自动驾驶联盟、中国智能交通产业联盟等行业协会的重要成员，与联盟伙伴和战略合作伙伴一同积极推动相关技术、标准的修订和测试，广泛建设生态连接，共谋车联网市场良性发展。</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 xml:space="preserve">在助力试验区和先导区方面，2019年10月，公司携自研C-V2X模组和终端，参与国内首次C-V2X“跨芯片模组、跨终端、跨整车、跨安全平台”应用示范，公司相关模组和终端同时通过测试并在现场成功演示，助力自动驾驶产业加速落地。 </w:t>
            </w:r>
          </w:p>
          <w:p>
            <w:pPr>
              <w:spacing w:line="240" w:lineRule="auto"/>
              <w:ind w:left="210" w:leftChars="10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2019年12月，公司在广州生物岛落地车联网试验区，部署车路协同全套基础设施，如信号机、雷达、摄像机以及RSU、MEC、5G CPE等设备，提供智能网联技术方案，布置5G-V2X施工车道预警和5G-V2X弱势行人检测预警等场景，实现国内首次智能网联技术成功赋能自动驾驶车辆，是国内首次真正将智能网联技术与单车智能进行结合，进行自动驾驶技术公开验证，实现了自动驾驶与车路协同一体化应用的深度融合。</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val="en-US" w:eastAsia="zh-CN"/>
              </w:rPr>
              <w:t>在行业政策方面，2020年初11个国家部委</w:t>
            </w:r>
            <w:r>
              <w:rPr>
                <w:rFonts w:hint="default" w:ascii="Times New Roman" w:hAnsi="Times New Roman" w:cs="Times New Roman" w:eastAsiaTheme="minorEastAsia"/>
                <w:bCs/>
                <w:iCs/>
                <w:color w:val="000000"/>
                <w:sz w:val="21"/>
                <w:szCs w:val="21"/>
                <w:lang w:eastAsia="zh-CN"/>
              </w:rPr>
              <w:t>联合发布《智能汽车创新发展战略》，5G以及道路信息化基础设施建设有望加速。基于</w:t>
            </w:r>
            <w:r>
              <w:rPr>
                <w:rFonts w:hint="default" w:ascii="Times New Roman" w:hAnsi="Times New Roman" w:cs="Times New Roman" w:eastAsiaTheme="minorEastAsia"/>
                <w:bCs/>
                <w:iCs/>
                <w:color w:val="000000"/>
                <w:sz w:val="21"/>
                <w:szCs w:val="21"/>
                <w:lang w:val="en-US" w:eastAsia="zh-CN"/>
              </w:rPr>
              <w:t>2019年情况可看到</w:t>
            </w:r>
            <w:r>
              <w:rPr>
                <w:rFonts w:hint="default" w:ascii="Times New Roman" w:hAnsi="Times New Roman" w:cs="Times New Roman" w:eastAsiaTheme="minorEastAsia"/>
                <w:bCs/>
                <w:iCs/>
                <w:color w:val="000000"/>
                <w:sz w:val="21"/>
                <w:szCs w:val="21"/>
                <w:lang w:eastAsia="zh-CN"/>
              </w:rPr>
              <w:t>全国多座城市都在积极推动车联网示范和先导区建设，国内智能网联示范区建设的步伐不断加快。</w:t>
            </w:r>
          </w:p>
          <w:p>
            <w:pPr>
              <w:spacing w:line="240" w:lineRule="auto"/>
              <w:ind w:left="210" w:leftChars="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eastAsia="zh-CN"/>
              </w:rPr>
              <w:t>针对目前车联网行业发展趋势及机遇，公司在</w:t>
            </w:r>
            <w:r>
              <w:rPr>
                <w:rFonts w:hint="default" w:ascii="Times New Roman" w:hAnsi="Times New Roman" w:cs="Times New Roman" w:eastAsiaTheme="minorEastAsia"/>
                <w:bCs/>
                <w:iCs/>
                <w:color w:val="000000"/>
                <w:sz w:val="21"/>
                <w:szCs w:val="21"/>
                <w:lang w:val="en-US" w:eastAsia="zh-CN"/>
              </w:rPr>
              <w:t>2020年一方面会加大各城市车联网示范区、先导区的建设和部署，把握国内智能网联示范区与智慧公路车路协同市场的发展机遇；另一方面</w:t>
            </w:r>
            <w:r>
              <w:rPr>
                <w:rFonts w:hint="default" w:ascii="Times New Roman" w:hAnsi="Times New Roman" w:cs="Times New Roman" w:eastAsiaTheme="minorEastAsia"/>
                <w:bCs/>
                <w:iCs/>
                <w:color w:val="000000"/>
                <w:sz w:val="21"/>
                <w:szCs w:val="21"/>
                <w:lang w:eastAsia="zh-CN"/>
              </w:rPr>
              <w:t>公司作为高通全球首个阿尔法客户，</w:t>
            </w:r>
            <w:r>
              <w:rPr>
                <w:rFonts w:hint="default" w:ascii="Times New Roman" w:hAnsi="Times New Roman" w:cs="Times New Roman" w:eastAsiaTheme="minorEastAsia"/>
                <w:bCs/>
                <w:iCs/>
                <w:color w:val="000000"/>
                <w:sz w:val="21"/>
                <w:szCs w:val="21"/>
                <w:highlight w:val="none"/>
                <w:lang w:eastAsia="zh-CN"/>
              </w:rPr>
              <w:t>正在持续跟踪高通SDX55 Auto(SA515M)平台的进展</w:t>
            </w:r>
            <w:r>
              <w:rPr>
                <w:rFonts w:hint="default" w:ascii="Times New Roman" w:hAnsi="Times New Roman" w:cs="Times New Roman" w:eastAsiaTheme="minorEastAsia"/>
                <w:bCs/>
                <w:iCs/>
                <w:color w:val="000000"/>
                <w:sz w:val="21"/>
                <w:szCs w:val="21"/>
                <w:lang w:eastAsia="zh-CN"/>
              </w:rPr>
              <w:t>，研发基于该平台的车规级5G</w:t>
            </w:r>
            <w:r>
              <w:rPr>
                <w:rFonts w:hint="default" w:ascii="Times New Roman" w:hAnsi="Times New Roman" w:cs="Times New Roman" w:eastAsiaTheme="minorEastAsia"/>
                <w:bCs/>
                <w:iCs/>
                <w:color w:val="000000"/>
                <w:sz w:val="21"/>
                <w:szCs w:val="21"/>
                <w:lang w:val="en-US" w:eastAsia="zh-CN"/>
              </w:rPr>
              <w:t>-</w:t>
            </w:r>
            <w:r>
              <w:rPr>
                <w:rFonts w:hint="default" w:ascii="Times New Roman" w:hAnsi="Times New Roman" w:cs="Times New Roman" w:eastAsiaTheme="minorEastAsia"/>
                <w:bCs/>
                <w:iCs/>
                <w:color w:val="000000"/>
                <w:sz w:val="21"/>
                <w:szCs w:val="21"/>
                <w:lang w:eastAsia="zh-CN"/>
              </w:rPr>
              <w:t>V2X模组，</w:t>
            </w:r>
            <w:r>
              <w:rPr>
                <w:rFonts w:hint="default" w:ascii="Times New Roman" w:hAnsi="Times New Roman" w:cs="Times New Roman" w:eastAsiaTheme="minorEastAsia"/>
                <w:bCs/>
                <w:iCs/>
                <w:color w:val="000000"/>
                <w:sz w:val="21"/>
                <w:szCs w:val="21"/>
                <w:lang w:val="en-US" w:eastAsia="zh-CN"/>
              </w:rPr>
              <w:t>加速推动5G-V2X车规级模组系列产品相关进展，</w:t>
            </w:r>
            <w:r>
              <w:rPr>
                <w:rFonts w:hint="default" w:ascii="Times New Roman" w:hAnsi="Times New Roman" w:cs="Times New Roman" w:eastAsiaTheme="minorEastAsia"/>
                <w:bCs/>
                <w:iCs/>
                <w:color w:val="000000"/>
                <w:sz w:val="21"/>
                <w:szCs w:val="21"/>
                <w:lang w:eastAsia="zh-CN"/>
              </w:rPr>
              <w:t>预计是全球首批5G C-V2X的商用落地项目，</w:t>
            </w:r>
            <w:r>
              <w:rPr>
                <w:rFonts w:hint="default" w:ascii="Times New Roman" w:hAnsi="Times New Roman" w:cs="Times New Roman" w:eastAsiaTheme="minorEastAsia"/>
                <w:bCs/>
                <w:iCs/>
                <w:color w:val="000000"/>
                <w:sz w:val="21"/>
                <w:szCs w:val="21"/>
                <w:lang w:val="en-US" w:eastAsia="zh-CN"/>
              </w:rPr>
              <w:t>率先抢占5G车联网时代。</w:t>
            </w:r>
          </w:p>
          <w:p>
            <w:pPr>
              <w:spacing w:line="360" w:lineRule="auto"/>
              <w:ind w:left="210" w:leftChars="100" w:firstLine="420" w:firstLineChars="200"/>
              <w:rPr>
                <w:rFonts w:hint="default" w:ascii="Times New Roman" w:hAnsi="Times New Roman" w:cs="Times New Roman" w:eastAsiaTheme="minorEastAsia"/>
                <w:bCs/>
                <w:iCs/>
                <w:color w:val="000000"/>
                <w:sz w:val="21"/>
                <w:szCs w:val="21"/>
                <w:lang w:eastAsia="zh-CN"/>
              </w:rPr>
            </w:pPr>
          </w:p>
          <w:p>
            <w:pPr>
              <w:numPr>
                <w:ilvl w:val="0"/>
                <w:numId w:val="1"/>
              </w:numPr>
              <w:ind w:left="0" w:leftChars="0" w:firstLine="220" w:firstLineChars="0"/>
              <w:rPr>
                <w:rFonts w:hint="default" w:ascii="Times New Roman" w:hAnsi="Times New Roman" w:cs="Times New Roman" w:eastAsiaTheme="minorEastAsia"/>
                <w:b/>
                <w:iCs/>
                <w:color w:val="000000"/>
                <w:sz w:val="21"/>
                <w:szCs w:val="21"/>
              </w:rPr>
            </w:pPr>
            <w:r>
              <w:rPr>
                <w:rFonts w:hint="default" w:ascii="Times New Roman" w:hAnsi="Times New Roman" w:cs="Times New Roman" w:eastAsiaTheme="minorEastAsia"/>
                <w:b/>
                <w:iCs/>
                <w:color w:val="000000"/>
                <w:sz w:val="21"/>
                <w:szCs w:val="21"/>
                <w:lang w:eastAsia="zh-CN"/>
              </w:rPr>
              <w:t>投资者提问</w:t>
            </w:r>
          </w:p>
          <w:p>
            <w:pPr>
              <w:numPr>
                <w:ilvl w:val="0"/>
                <w:numId w:val="2"/>
              </w:numPr>
              <w:spacing w:line="360" w:lineRule="auto"/>
              <w:ind w:left="425" w:leftChars="0" w:hanging="205" w:firstLineChars="0"/>
              <w:rPr>
                <w:rFonts w:hint="default" w:ascii="Times New Roman" w:hAnsi="Times New Roman" w:cs="Times New Roman" w:eastAsiaTheme="minorEastAsia"/>
                <w:b/>
                <w:iCs/>
                <w:color w:val="000000"/>
                <w:sz w:val="21"/>
                <w:szCs w:val="21"/>
              </w:rPr>
            </w:pPr>
            <w:r>
              <w:rPr>
                <w:rFonts w:hint="default" w:ascii="Times New Roman" w:hAnsi="Times New Roman" w:cs="Times New Roman" w:eastAsiaTheme="minorEastAsia"/>
                <w:b/>
                <w:iCs/>
                <w:color w:val="000000"/>
                <w:sz w:val="21"/>
                <w:szCs w:val="21"/>
                <w:lang w:eastAsia="zh-CN"/>
              </w:rPr>
              <w:t>请</w:t>
            </w:r>
            <w:r>
              <w:rPr>
                <w:rFonts w:hint="default" w:ascii="Times New Roman" w:hAnsi="Times New Roman" w:cs="Times New Roman" w:eastAsiaTheme="minorEastAsia"/>
                <w:b/>
                <w:iCs/>
                <w:color w:val="000000"/>
                <w:sz w:val="21"/>
                <w:szCs w:val="21"/>
                <w:lang w:val="en-US" w:eastAsia="zh-CN"/>
              </w:rPr>
              <w:t>对公司2019年整体业务板块情况进行梳理</w:t>
            </w:r>
          </w:p>
          <w:p>
            <w:pPr>
              <w:ind w:left="210" w:leftChars="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val="en-US" w:eastAsia="zh-CN"/>
              </w:rPr>
              <w:t>公司致力于感知、连接、平台等物联网核心技术的研发和行业应用的拓展，目前正处于战略和资源进一步聚焦阶段，重点聚焦车联网和公安执法规范化两大垂直应用领域。</w:t>
            </w:r>
          </w:p>
          <w:p>
            <w:pPr>
              <w:ind w:left="210" w:leftChars="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val="en-US" w:eastAsia="zh-CN"/>
              </w:rPr>
              <w:t>整体来看，公司目前营业收入按产品分类主要分为三部分，一是包含车联网产品在内的物联网连接及终端、应用，该板块2019年度收入约占公司整体营收占比的50%左右。</w:t>
            </w:r>
          </w:p>
          <w:p>
            <w:pPr>
              <w:ind w:left="210" w:leftChars="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val="en-US" w:eastAsia="zh-CN"/>
              </w:rPr>
              <w:t>二是包含执法规范化相关产品在内的警务终端及警务信息化应用，经过1-2年的产品积累，整个产品体系已经比较完善和健全，包括智慧执法平台、智能办案场所产品及方案、移动执法视音频系统、AR实景大数据等。2019年，公司重新整合集团在公安板块的销售能力，建立统一的营销体系，以进一步提高产品销售能力，提升费用效能，为警务执法体系产品赋能。</w:t>
            </w:r>
          </w:p>
          <w:p>
            <w:pPr>
              <w:ind w:left="210" w:leftChars="0" w:firstLine="420" w:firstLineChars="200"/>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bCs/>
                <w:iCs/>
                <w:color w:val="000000"/>
                <w:sz w:val="21"/>
                <w:szCs w:val="21"/>
                <w:lang w:val="en-US" w:eastAsia="zh-CN"/>
              </w:rPr>
              <w:t>三是以平安城市与智能交通两大领域为主的软件系统及解决方案业务。</w:t>
            </w:r>
            <w:r>
              <w:rPr>
                <w:rFonts w:hint="default" w:ascii="Times New Roman" w:hAnsi="Times New Roman" w:cs="Times New Roman" w:eastAsiaTheme="minorEastAsia"/>
                <w:sz w:val="21"/>
                <w:szCs w:val="21"/>
                <w:lang w:val="en-US" w:eastAsia="zh-CN"/>
              </w:rPr>
              <w:t>2019年</w:t>
            </w:r>
            <w:r>
              <w:rPr>
                <w:rFonts w:hint="default" w:ascii="Times New Roman" w:hAnsi="Times New Roman" w:cs="Times New Roman" w:eastAsiaTheme="minorEastAsia"/>
                <w:sz w:val="21"/>
                <w:szCs w:val="21"/>
              </w:rPr>
              <w:t>公司营收</w:t>
            </w:r>
            <w:r>
              <w:rPr>
                <w:rFonts w:hint="default" w:ascii="Times New Roman" w:hAnsi="Times New Roman" w:cs="Times New Roman" w:eastAsiaTheme="minorEastAsia"/>
                <w:sz w:val="21"/>
                <w:szCs w:val="21"/>
                <w:lang w:eastAsia="zh-CN"/>
              </w:rPr>
              <w:t>较</w:t>
            </w:r>
            <w:r>
              <w:rPr>
                <w:rFonts w:hint="default" w:ascii="Times New Roman" w:hAnsi="Times New Roman" w:cs="Times New Roman" w:eastAsiaTheme="minorEastAsia"/>
                <w:sz w:val="21"/>
                <w:szCs w:val="21"/>
              </w:rPr>
              <w:t>2018年下滑</w:t>
            </w:r>
            <w:r>
              <w:rPr>
                <w:rFonts w:hint="default" w:ascii="Times New Roman" w:hAnsi="Times New Roman" w:cs="Times New Roman" w:eastAsiaTheme="minorEastAsia"/>
                <w:sz w:val="21"/>
                <w:szCs w:val="21"/>
                <w:lang w:eastAsia="zh-CN"/>
              </w:rPr>
              <w:t>主要原因</w:t>
            </w:r>
            <w:r>
              <w:rPr>
                <w:rFonts w:hint="default" w:ascii="Times New Roman" w:hAnsi="Times New Roman" w:cs="Times New Roman" w:eastAsiaTheme="minorEastAsia"/>
                <w:sz w:val="21"/>
                <w:szCs w:val="21"/>
              </w:rPr>
              <w:t>来</w:t>
            </w:r>
            <w:r>
              <w:rPr>
                <w:rFonts w:hint="default" w:ascii="Times New Roman" w:hAnsi="Times New Roman" w:cs="Times New Roman" w:eastAsiaTheme="minorEastAsia"/>
                <w:sz w:val="21"/>
                <w:szCs w:val="21"/>
                <w:lang w:eastAsia="zh-CN"/>
              </w:rPr>
              <w:t>自</w:t>
            </w:r>
            <w:r>
              <w:rPr>
                <w:rFonts w:hint="default" w:ascii="Times New Roman" w:hAnsi="Times New Roman" w:cs="Times New Roman" w:eastAsiaTheme="minorEastAsia"/>
                <w:sz w:val="21"/>
                <w:szCs w:val="21"/>
              </w:rPr>
              <w:t>于公司在</w:t>
            </w:r>
            <w:r>
              <w:rPr>
                <w:rFonts w:hint="default" w:ascii="Times New Roman" w:hAnsi="Times New Roman" w:cs="Times New Roman" w:eastAsiaTheme="minorEastAsia"/>
                <w:bCs/>
                <w:iCs/>
                <w:color w:val="000000"/>
                <w:sz w:val="21"/>
                <w:szCs w:val="21"/>
                <w:lang w:val="en-US" w:eastAsia="zh-CN"/>
              </w:rPr>
              <w:t>平安城市、智慧城市</w:t>
            </w:r>
            <w:r>
              <w:rPr>
                <w:rFonts w:hint="default" w:ascii="Times New Roman" w:hAnsi="Times New Roman" w:cs="Times New Roman" w:eastAsiaTheme="minorEastAsia"/>
                <w:bCs/>
                <w:iCs/>
                <w:color w:val="000000"/>
                <w:sz w:val="21"/>
                <w:szCs w:val="21"/>
                <w:lang w:eastAsia="zh-CN"/>
              </w:rPr>
              <w:t>业务规模的</w:t>
            </w:r>
            <w:r>
              <w:rPr>
                <w:rFonts w:hint="default" w:ascii="Times New Roman" w:hAnsi="Times New Roman" w:cs="Times New Roman" w:eastAsiaTheme="minorEastAsia"/>
                <w:sz w:val="21"/>
                <w:szCs w:val="21"/>
                <w:lang w:eastAsia="zh-CN"/>
              </w:rPr>
              <w:t>主动</w:t>
            </w:r>
            <w:r>
              <w:rPr>
                <w:rFonts w:hint="default" w:ascii="Times New Roman" w:hAnsi="Times New Roman" w:cs="Times New Roman" w:eastAsiaTheme="minorEastAsia"/>
                <w:sz w:val="21"/>
                <w:szCs w:val="21"/>
              </w:rPr>
              <w:t>收缩</w:t>
            </w:r>
            <w:r>
              <w:rPr>
                <w:rFonts w:hint="default" w:ascii="Times New Roman" w:hAnsi="Times New Roman" w:cs="Times New Roman" w:eastAsiaTheme="minorEastAsia"/>
                <w:sz w:val="21"/>
                <w:szCs w:val="21"/>
                <w:lang w:eastAsia="zh-CN"/>
              </w:rPr>
              <w:t>与业务结构调整。</w:t>
            </w:r>
            <w:r>
              <w:rPr>
                <w:rFonts w:hint="default" w:ascii="Times New Roman" w:hAnsi="Times New Roman" w:cs="Times New Roman" w:eastAsiaTheme="minorEastAsia"/>
                <w:bCs/>
                <w:iCs/>
                <w:color w:val="000000"/>
                <w:sz w:val="21"/>
                <w:szCs w:val="21"/>
                <w:lang w:eastAsia="zh-CN"/>
              </w:rPr>
              <w:t>以平安城市与智能交通两大领域为主的软件系统及解决方案业务在公司成长期起了重要贡献，该类业务为公司提供了较好的收入规模贡献，但对公司经营性现金流及应收账款都造成一定压力。所以公司对该类</w:t>
            </w:r>
            <w:r>
              <w:rPr>
                <w:rFonts w:hint="default" w:ascii="Times New Roman" w:hAnsi="Times New Roman" w:cs="Times New Roman" w:eastAsiaTheme="minorEastAsia"/>
                <w:bCs/>
                <w:iCs/>
                <w:color w:val="000000"/>
                <w:sz w:val="21"/>
                <w:szCs w:val="21"/>
                <w:lang w:val="en-US" w:eastAsia="zh-CN"/>
              </w:rPr>
              <w:t>软件系统及解决方案的业务结构正在逐步调整，从PPP项目、BOT项目转向</w:t>
            </w:r>
            <w:r>
              <w:rPr>
                <w:rFonts w:hint="default" w:ascii="Times New Roman" w:hAnsi="Times New Roman" w:cs="Times New Roman" w:eastAsiaTheme="minorEastAsia"/>
                <w:sz w:val="21"/>
                <w:szCs w:val="21"/>
              </w:rPr>
              <w:t>回款条件更好、项目建设周期更短的BT项目，</w:t>
            </w:r>
            <w:r>
              <w:rPr>
                <w:rFonts w:hint="eastAsia" w:ascii="Times New Roman" w:hAnsi="Times New Roman" w:cs="Times New Roman" w:eastAsiaTheme="minorEastAsia"/>
                <w:sz w:val="21"/>
                <w:szCs w:val="21"/>
                <w:lang w:eastAsia="zh-CN"/>
              </w:rPr>
              <w:t>虽然</w:t>
            </w:r>
            <w:r>
              <w:rPr>
                <w:rFonts w:hint="default" w:ascii="Times New Roman" w:hAnsi="Times New Roman" w:cs="Times New Roman" w:eastAsiaTheme="minorEastAsia"/>
                <w:sz w:val="21"/>
                <w:szCs w:val="21"/>
              </w:rPr>
              <w:t>项目规模</w:t>
            </w:r>
            <w:r>
              <w:rPr>
                <w:rFonts w:hint="default" w:ascii="Times New Roman" w:hAnsi="Times New Roman" w:cs="Times New Roman" w:eastAsiaTheme="minorEastAsia"/>
                <w:sz w:val="21"/>
                <w:szCs w:val="21"/>
                <w:lang w:eastAsia="zh-CN"/>
              </w:rPr>
              <w:t>会相对</w:t>
            </w:r>
            <w:r>
              <w:rPr>
                <w:rFonts w:hint="default" w:ascii="Times New Roman" w:hAnsi="Times New Roman" w:cs="Times New Roman" w:eastAsiaTheme="minorEastAsia"/>
                <w:sz w:val="21"/>
                <w:szCs w:val="21"/>
              </w:rPr>
              <w:t>偏小</w:t>
            </w:r>
            <w:r>
              <w:rPr>
                <w:rFonts w:hint="default" w:ascii="Times New Roman" w:hAnsi="Times New Roman" w:cs="Times New Roman" w:eastAsiaTheme="minorEastAsia"/>
                <w:sz w:val="21"/>
                <w:szCs w:val="21"/>
                <w:lang w:eastAsia="zh-CN"/>
              </w:rPr>
              <w:t>，但是</w:t>
            </w:r>
            <w:r>
              <w:rPr>
                <w:rFonts w:hint="default" w:ascii="Times New Roman" w:hAnsi="Times New Roman" w:cs="Times New Roman" w:eastAsiaTheme="minorEastAsia"/>
                <w:sz w:val="21"/>
                <w:szCs w:val="21"/>
              </w:rPr>
              <w:t>有利于从源头上改善应收帐款和现金流情况</w:t>
            </w:r>
            <w:r>
              <w:rPr>
                <w:rFonts w:hint="default" w:ascii="Times New Roman" w:hAnsi="Times New Roman" w:cs="Times New Roman" w:eastAsiaTheme="minorEastAsia"/>
                <w:sz w:val="21"/>
                <w:szCs w:val="21"/>
                <w:lang w:eastAsia="zh-CN"/>
              </w:rPr>
              <w:t>。</w:t>
            </w:r>
          </w:p>
          <w:p>
            <w:pPr>
              <w:ind w:left="210" w:leftChars="0"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Cs/>
                <w:iCs/>
                <w:color w:val="000000"/>
                <w:sz w:val="21"/>
                <w:szCs w:val="21"/>
                <w:lang w:eastAsia="zh-CN"/>
              </w:rPr>
              <w:t>从中长期发展来看，公司未来仍将重点聚焦车联网和公安执法规范化两大主航道业务发展，软件系统及解决方案业务规模占公司整体营收的比例会有一定下降。</w:t>
            </w:r>
          </w:p>
          <w:p>
            <w:pPr>
              <w:numPr>
                <w:ilvl w:val="0"/>
                <w:numId w:val="2"/>
              </w:numPr>
              <w:spacing w:line="360" w:lineRule="auto"/>
              <w:ind w:left="425" w:leftChars="0" w:hanging="205" w:firstLineChars="0"/>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 xml:space="preserve">公司车联网业务方面新客户开拓的情况？ </w:t>
            </w:r>
          </w:p>
          <w:p>
            <w:pPr>
              <w:ind w:left="210" w:leftChars="0" w:firstLine="420" w:firstLineChars="200"/>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val="en-US" w:eastAsia="zh-CN"/>
              </w:rPr>
              <w:t>公司车联网业务一方面保持在海外市场的规模稳定和新业务的落地，大力拓展国内外多元化客户，以实现规模增长。另一方面加大对国内前装车载产品市场的推进力度，客户推进重心更加侧重国内。主要是</w:t>
            </w:r>
            <w:r>
              <w:rPr>
                <w:rFonts w:hint="eastAsia" w:ascii="Times New Roman" w:hAnsi="Times New Roman" w:cs="Times New Roman" w:eastAsiaTheme="minorEastAsia"/>
                <w:bCs/>
                <w:iCs/>
                <w:color w:val="000000"/>
                <w:sz w:val="21"/>
                <w:szCs w:val="21"/>
                <w:lang w:val="en-US" w:eastAsia="zh-CN"/>
              </w:rPr>
              <w:t>基于</w:t>
            </w:r>
            <w:r>
              <w:rPr>
                <w:rFonts w:hint="default" w:ascii="Times New Roman" w:hAnsi="Times New Roman" w:cs="Times New Roman" w:eastAsiaTheme="minorEastAsia"/>
                <w:bCs/>
                <w:iCs/>
                <w:color w:val="000000"/>
                <w:sz w:val="21"/>
                <w:szCs w:val="21"/>
                <w:lang w:val="en-US" w:eastAsia="zh-CN"/>
              </w:rPr>
              <w:t>两方面的考虑，一是前装车载</w:t>
            </w:r>
            <w:r>
              <w:rPr>
                <w:rFonts w:hint="default" w:ascii="Times New Roman" w:hAnsi="Times New Roman" w:cs="Times New Roman" w:eastAsiaTheme="minorEastAsia"/>
                <w:bCs/>
                <w:iCs/>
                <w:color w:val="000000"/>
                <w:sz w:val="21"/>
                <w:szCs w:val="21"/>
                <w:lang w:eastAsia="zh-CN"/>
              </w:rPr>
              <w:t>产品市场是未来车联网市场发展的主流趋势，5G时代到来后车联网前装产品的需求会优先起量，2021 年随着 5G 及 V2X 技术的成熟和广泛应用，相关车规级产品将进一步上量。公司在已实现批量发货的整车厂和 TIER 1 客户基础上，会加强与其他整车厂商的合作以及适配测试，逐步实现更多前装车载产品的量产。二是</w:t>
            </w:r>
            <w:bookmarkStart w:id="0" w:name="_GoBack"/>
            <w:bookmarkEnd w:id="0"/>
            <w:r>
              <w:rPr>
                <w:rFonts w:hint="default" w:ascii="Times New Roman" w:hAnsi="Times New Roman" w:cs="Times New Roman" w:eastAsiaTheme="minorEastAsia"/>
                <w:bCs/>
                <w:iCs/>
                <w:color w:val="000000"/>
                <w:sz w:val="21"/>
                <w:szCs w:val="21"/>
                <w:lang w:val="en-US" w:eastAsia="zh-CN"/>
              </w:rPr>
              <w:t>2020年公司会重点推进在国内各城市车联网示范区、先导区的建设和部署，参与更多国内车联网先导区、</w:t>
            </w:r>
            <w:r>
              <w:rPr>
                <w:rFonts w:hint="default" w:ascii="Times New Roman" w:hAnsi="Times New Roman" w:cs="Times New Roman" w:eastAsiaTheme="minorEastAsia"/>
                <w:bCs/>
                <w:iCs/>
                <w:color w:val="000000"/>
                <w:sz w:val="21"/>
                <w:szCs w:val="21"/>
              </w:rPr>
              <w:t>试验区</w:t>
            </w:r>
            <w:r>
              <w:rPr>
                <w:rFonts w:hint="default" w:ascii="Times New Roman" w:hAnsi="Times New Roman" w:cs="Times New Roman" w:eastAsiaTheme="minorEastAsia"/>
                <w:bCs/>
                <w:iCs/>
                <w:color w:val="000000"/>
                <w:sz w:val="21"/>
                <w:szCs w:val="21"/>
                <w:lang w:eastAsia="zh-CN"/>
              </w:rPr>
              <w:t>项目</w:t>
            </w:r>
            <w:r>
              <w:rPr>
                <w:rFonts w:hint="default" w:ascii="Times New Roman" w:hAnsi="Times New Roman" w:cs="Times New Roman" w:eastAsiaTheme="minorEastAsia"/>
                <w:bCs/>
                <w:iCs/>
                <w:color w:val="000000"/>
                <w:sz w:val="21"/>
                <w:szCs w:val="21"/>
              </w:rPr>
              <w:t>的落地</w:t>
            </w:r>
            <w:r>
              <w:rPr>
                <w:rFonts w:hint="default" w:ascii="Times New Roman" w:hAnsi="Times New Roman" w:cs="Times New Roman" w:eastAsiaTheme="minorEastAsia"/>
                <w:bCs/>
                <w:iCs/>
                <w:color w:val="000000"/>
                <w:sz w:val="21"/>
                <w:szCs w:val="21"/>
                <w:lang w:eastAsia="zh-CN"/>
              </w:rPr>
              <w:t>。</w:t>
            </w:r>
          </w:p>
          <w:p>
            <w:pPr>
              <w:numPr>
                <w:ilvl w:val="0"/>
                <w:numId w:val="2"/>
              </w:numPr>
              <w:spacing w:line="360" w:lineRule="auto"/>
              <w:ind w:left="425" w:leftChars="0" w:hanging="205" w:firstLineChars="0"/>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市场上车联网先导区、示范区大致规模情况以及参与的玩家情况？</w:t>
            </w:r>
          </w:p>
          <w:p>
            <w:pPr>
              <w:ind w:left="210" w:leftChars="100"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目前行业车联网试点的推动方较为多元，从2020年2月国家发展和改革委员会、中央网络安全和信息化委员会办公室、科学技术部、工业和信息化部、公安部、财政部、自然资源部、住房和城乡建设部、交通运输部、商务部、国家市场监督管理总局11个国家部委联合出台《智能汽车创新发展战略》及其他智能网联政策来看，相关部门都在推动车联网行业的发展。按照当前情况看，公司内部大致测算近两年期间全国智能网联示范区与智慧公路协同市场需求较清晰的项目规模大致有几十亿的市场空间。从整个车联网市场来看，参与玩家众多，运营商、设备商、各类终端厂商、TSP厂商、整车厂、解决方案厂商、内容服务提供商等等都会参与其中，每个厂商都会在其中找到合适自己的定位，公司作为具有车规级通信模组+T-Box+RSU+智慧交通全产业链布局的企业具备极强的竞争优势。</w:t>
            </w:r>
          </w:p>
          <w:p>
            <w:pPr>
              <w:numPr>
                <w:ilvl w:val="0"/>
                <w:numId w:val="2"/>
              </w:numPr>
              <w:spacing w:line="360" w:lineRule="auto"/>
              <w:ind w:left="425" w:leftChars="0" w:hanging="205" w:firstLineChars="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公司目前人员规模及后续费用情况？</w:t>
            </w:r>
          </w:p>
          <w:p>
            <w:pPr>
              <w:numPr>
                <w:ilvl w:val="0"/>
                <w:numId w:val="0"/>
              </w:numPr>
              <w:spacing w:line="240" w:lineRule="auto"/>
              <w:ind w:leftChars="1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 xml:space="preserve">    </w:t>
            </w:r>
            <w:r>
              <w:rPr>
                <w:rFonts w:hint="eastAsia" w:ascii="Times New Roman" w:hAnsi="Times New Roman" w:cs="Times New Roman" w:eastAsiaTheme="minorEastAsia"/>
                <w:sz w:val="21"/>
                <w:szCs w:val="21"/>
                <w:lang w:val="en-US" w:eastAsia="zh-CN"/>
              </w:rPr>
              <w:t>经过人员结构优化，</w:t>
            </w:r>
            <w:r>
              <w:rPr>
                <w:rFonts w:hint="default" w:ascii="Times New Roman" w:hAnsi="Times New Roman" w:cs="Times New Roman" w:eastAsiaTheme="minorEastAsia"/>
                <w:sz w:val="21"/>
                <w:szCs w:val="21"/>
                <w:lang w:val="en-US" w:eastAsia="zh-CN"/>
              </w:rPr>
              <w:t>集团目前整体人员规模在3500人左右，</w:t>
            </w:r>
            <w:r>
              <w:rPr>
                <w:rFonts w:hint="eastAsia" w:ascii="Times New Roman" w:hAnsi="Times New Roman" w:cs="Times New Roman" w:eastAsiaTheme="minorEastAsia"/>
                <w:sz w:val="21"/>
                <w:szCs w:val="21"/>
                <w:lang w:val="en-US" w:eastAsia="zh-CN"/>
              </w:rPr>
              <w:t>另外</w:t>
            </w:r>
            <w:r>
              <w:rPr>
                <w:rFonts w:hint="default" w:ascii="Times New Roman" w:hAnsi="Times New Roman" w:cs="Times New Roman" w:eastAsiaTheme="minorEastAsia"/>
                <w:sz w:val="21"/>
                <w:szCs w:val="21"/>
                <w:lang w:val="en-US" w:eastAsia="zh-CN"/>
              </w:rPr>
              <w:t>公司也在费用上进行了严格的管理</w:t>
            </w:r>
            <w:r>
              <w:rPr>
                <w:rFonts w:hint="eastAsia" w:ascii="Times New Roman" w:hAnsi="Times New Roman" w:cs="Times New Roman" w:eastAsiaTheme="minorEastAsia"/>
                <w:sz w:val="21"/>
                <w:szCs w:val="21"/>
                <w:lang w:val="en-US" w:eastAsia="zh-CN"/>
              </w:rPr>
              <w:t>和控制</w:t>
            </w:r>
            <w:r>
              <w:rPr>
                <w:rFonts w:hint="default" w:ascii="Times New Roman" w:hAnsi="Times New Roman" w:cs="Times New Roman" w:eastAsiaTheme="minorEastAsia"/>
                <w:sz w:val="21"/>
                <w:szCs w:val="21"/>
                <w:lang w:val="en-US" w:eastAsia="zh-CN"/>
              </w:rPr>
              <w:t>，以提高管理费用及销售费用效能。</w:t>
            </w:r>
          </w:p>
          <w:p>
            <w:pPr>
              <w:numPr>
                <w:ilvl w:val="0"/>
                <w:numId w:val="2"/>
              </w:numPr>
              <w:spacing w:line="360" w:lineRule="auto"/>
              <w:ind w:left="425" w:leftChars="0" w:hanging="205" w:firstLineChars="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公司2019年研发投入情况及2020年研发投入规划？</w:t>
            </w:r>
          </w:p>
          <w:p>
            <w:pPr>
              <w:numPr>
                <w:ilvl w:val="0"/>
                <w:numId w:val="0"/>
              </w:numPr>
              <w:spacing w:line="240" w:lineRule="auto"/>
              <w:ind w:leftChars="10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val="en-US" w:eastAsia="zh-CN"/>
              </w:rPr>
              <w:t>公司2019年研发投入较2018年有较大增长，其中重点投入在物联网板块业务，例如5G-V2X相关项目和产品的研发上。2020年仍对研发保持高度重视，以总量不增为指导思想进行投入和布局，以保持公司核心技术的先发优势及行业竞争力。</w:t>
            </w:r>
          </w:p>
          <w:p>
            <w:pPr>
              <w:numPr>
                <w:ilvl w:val="0"/>
                <w:numId w:val="2"/>
              </w:numPr>
              <w:spacing w:line="360" w:lineRule="auto"/>
              <w:ind w:left="425" w:leftChars="0" w:hanging="205" w:firstLineChars="0"/>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公司在电子车牌行业方面的业务情况？</w:t>
            </w:r>
          </w:p>
          <w:p>
            <w:pPr>
              <w:numPr>
                <w:ilvl w:val="0"/>
                <w:numId w:val="0"/>
              </w:numPr>
              <w:spacing w:line="240" w:lineRule="auto"/>
              <w:ind w:leftChars="100" w:firstLine="420" w:firstLineChars="200"/>
              <w:rPr>
                <w:rFonts w:hint="default" w:ascii="Times New Roman" w:hAnsi="Times New Roman" w:cs="Times New Roman" w:eastAsiaTheme="minorEastAsia"/>
                <w:bCs/>
                <w:iCs/>
                <w:color w:val="000000"/>
                <w:sz w:val="21"/>
                <w:szCs w:val="21"/>
                <w:lang w:val="en-US" w:eastAsia="zh-CN"/>
              </w:rPr>
            </w:pPr>
            <w:r>
              <w:rPr>
                <w:rFonts w:hint="default" w:ascii="Times New Roman" w:hAnsi="Times New Roman" w:cs="Times New Roman" w:eastAsiaTheme="minorEastAsia"/>
                <w:bCs/>
                <w:iCs/>
                <w:color w:val="000000"/>
                <w:sz w:val="21"/>
                <w:szCs w:val="21"/>
                <w:lang w:val="en-US" w:eastAsia="zh-CN"/>
              </w:rPr>
              <w:t>公司目前已在重庆拥有国内建设规模最大、系统最完善的电子车牌运营管理系统，除此之外，在无锡、深圳、天津、北京、武汉等城市均有项目落地。</w:t>
            </w:r>
            <w:r>
              <w:rPr>
                <w:rFonts w:hint="default" w:ascii="Times New Roman" w:hAnsi="Times New Roman" w:cs="Times New Roman" w:eastAsiaTheme="minorEastAsia"/>
                <w:sz w:val="21"/>
                <w:szCs w:val="21"/>
              </w:rPr>
              <w:t>受</w:t>
            </w:r>
            <w:r>
              <w:rPr>
                <w:rFonts w:hint="default" w:ascii="Times New Roman" w:hAnsi="Times New Roman" w:cs="Times New Roman" w:eastAsiaTheme="minorEastAsia"/>
                <w:sz w:val="21"/>
                <w:szCs w:val="21"/>
                <w:lang w:val="en-US" w:eastAsia="zh-CN"/>
              </w:rPr>
              <w:t>2019年</w:t>
            </w:r>
            <w:r>
              <w:rPr>
                <w:rFonts w:hint="default" w:ascii="Times New Roman" w:hAnsi="Times New Roman" w:cs="Times New Roman" w:eastAsiaTheme="minorEastAsia"/>
                <w:sz w:val="21"/>
                <w:szCs w:val="21"/>
              </w:rPr>
              <w:t>ETC</w:t>
            </w:r>
            <w:r>
              <w:rPr>
                <w:rFonts w:hint="default" w:ascii="Times New Roman" w:hAnsi="Times New Roman" w:cs="Times New Roman" w:eastAsiaTheme="minorEastAsia"/>
                <w:sz w:val="21"/>
                <w:szCs w:val="21"/>
                <w:lang w:eastAsia="zh-CN"/>
              </w:rPr>
              <w:t>行业爆发</w:t>
            </w:r>
            <w:r>
              <w:rPr>
                <w:rFonts w:hint="default" w:ascii="Times New Roman" w:hAnsi="Times New Roman" w:cs="Times New Roman" w:eastAsiaTheme="minorEastAsia"/>
                <w:sz w:val="21"/>
                <w:szCs w:val="21"/>
              </w:rPr>
              <w:t>的</w:t>
            </w:r>
            <w:r>
              <w:rPr>
                <w:rFonts w:hint="default" w:ascii="Times New Roman" w:hAnsi="Times New Roman" w:cs="Times New Roman" w:eastAsiaTheme="minorEastAsia"/>
                <w:sz w:val="21"/>
                <w:szCs w:val="21"/>
                <w:lang w:eastAsia="zh-CN"/>
              </w:rPr>
              <w:t>影响</w:t>
            </w:r>
            <w:r>
              <w:rPr>
                <w:rFonts w:hint="default" w:ascii="Times New Roman" w:hAnsi="Times New Roman" w:cs="Times New Roman" w:eastAsiaTheme="minorEastAsia"/>
                <w:sz w:val="21"/>
                <w:szCs w:val="21"/>
              </w:rPr>
              <w:t>，公安部在推动电子车牌落地市场化的动作明显加快。</w:t>
            </w:r>
            <w:r>
              <w:rPr>
                <w:rFonts w:hint="default" w:ascii="Times New Roman" w:hAnsi="Times New Roman" w:cs="Times New Roman" w:eastAsiaTheme="minorEastAsia"/>
                <w:bCs/>
                <w:iCs/>
                <w:color w:val="000000"/>
                <w:sz w:val="21"/>
                <w:szCs w:val="21"/>
                <w:lang w:val="en-US" w:eastAsia="zh-CN"/>
              </w:rPr>
              <w:t>公司目前正积极向其他城市试点、推广电子车牌项目，同时也在积极探索更多的应用场景。例如通过电子车牌和保险结合的模式开拓电子车牌社会服务场景，利用</w:t>
            </w:r>
            <w:r>
              <w:rPr>
                <w:rFonts w:hint="default" w:ascii="Times New Roman" w:hAnsi="Times New Roman" w:cs="Times New Roman" w:eastAsiaTheme="minorEastAsia"/>
                <w:sz w:val="21"/>
                <w:szCs w:val="21"/>
              </w:rPr>
              <w:t>电子车牌</w:t>
            </w:r>
            <w:r>
              <w:rPr>
                <w:rFonts w:hint="default" w:ascii="Times New Roman" w:hAnsi="Times New Roman" w:cs="Times New Roman" w:eastAsiaTheme="minorEastAsia"/>
                <w:sz w:val="21"/>
                <w:szCs w:val="21"/>
                <w:lang w:eastAsia="zh-CN"/>
              </w:rPr>
              <w:t>唯一身份识别的特性共同拓展汽车电子标识在汽车后服务市场如保险、加油、停车、维修、保养等领域的应用，目前公司正在</w:t>
            </w:r>
            <w:r>
              <w:rPr>
                <w:rFonts w:hint="default" w:ascii="Times New Roman" w:hAnsi="Times New Roman" w:cs="Times New Roman" w:eastAsiaTheme="minorEastAsia"/>
                <w:sz w:val="21"/>
                <w:szCs w:val="21"/>
              </w:rPr>
              <w:t>跟保险公司</w:t>
            </w:r>
            <w:r>
              <w:rPr>
                <w:rFonts w:hint="default" w:ascii="Times New Roman" w:hAnsi="Times New Roman" w:cs="Times New Roman" w:eastAsiaTheme="minorEastAsia"/>
                <w:sz w:val="21"/>
                <w:szCs w:val="21"/>
                <w:lang w:eastAsia="zh-CN"/>
              </w:rPr>
              <w:t>积极</w:t>
            </w:r>
            <w:r>
              <w:rPr>
                <w:rFonts w:hint="default" w:ascii="Times New Roman" w:hAnsi="Times New Roman" w:cs="Times New Roman" w:eastAsiaTheme="minorEastAsia"/>
                <w:sz w:val="21"/>
                <w:szCs w:val="21"/>
              </w:rPr>
              <w:t>洽谈具体落地方案</w:t>
            </w:r>
            <w:r>
              <w:rPr>
                <w:rFonts w:hint="default" w:ascii="Times New Roman" w:hAnsi="Times New Roman" w:cs="Times New Roman" w:eastAsiaTheme="minorEastAsia"/>
                <w:sz w:val="21"/>
                <w:szCs w:val="21"/>
                <w:lang w:eastAsia="zh-CN"/>
              </w:rPr>
              <w:t>，公司</w:t>
            </w:r>
            <w:r>
              <w:rPr>
                <w:rFonts w:hint="default" w:ascii="Times New Roman" w:hAnsi="Times New Roman" w:cs="Times New Roman" w:eastAsiaTheme="minorEastAsia"/>
                <w:bCs/>
                <w:iCs/>
                <w:color w:val="000000"/>
                <w:sz w:val="21"/>
                <w:szCs w:val="21"/>
                <w:lang w:val="en-US" w:eastAsia="zh-CN"/>
              </w:rPr>
              <w:t>非常看好电子车牌未来发展趋势。</w:t>
            </w:r>
          </w:p>
          <w:p>
            <w:pPr>
              <w:numPr>
                <w:ilvl w:val="0"/>
                <w:numId w:val="2"/>
              </w:numPr>
              <w:spacing w:line="360" w:lineRule="auto"/>
              <w:ind w:left="425" w:leftChars="0" w:hanging="205" w:firstLineChars="0"/>
              <w:jc w:val="left"/>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公司目前账面上还有六个多亿的商誉，主要是高新兴创联和高新兴物联两家子公司的，请问公司未来商誉减值的风险有多大？</w:t>
            </w:r>
          </w:p>
          <w:p>
            <w:pPr>
              <w:widowControl/>
              <w:ind w:leftChars="100" w:firstLine="420" w:firstLineChars="200"/>
              <w:jc w:val="both"/>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lang w:eastAsia="zh-CN"/>
              </w:rPr>
              <w:t>2019年，受到国际国内宏观经济形势变化、行业政策趋势变化及市场竞争日益加剧的影响，公司收购的六家标的相关资产组的经营业绩承受较大压力。公司在判断上述六家标的资产组是否出现商誉减值的过程中一直保持谨慎的态度，详细情况可参见公司于巨潮资讯网披露的《关于深圳证券交易所关注函回复的公告》。</w:t>
            </w:r>
          </w:p>
          <w:p>
            <w:pPr>
              <w:widowControl/>
              <w:ind w:leftChars="100" w:firstLine="420" w:firstLineChars="200"/>
              <w:jc w:val="both"/>
              <w:rPr>
                <w:rFonts w:hint="default" w:ascii="Times New Roman" w:hAnsi="Times New Roman" w:cs="Times New Roman" w:eastAsiaTheme="minorEastAsia"/>
                <w:kern w:val="0"/>
                <w:sz w:val="21"/>
                <w:szCs w:val="21"/>
              </w:rPr>
            </w:pPr>
            <w:r>
              <w:rPr>
                <w:rFonts w:hint="default" w:ascii="Times New Roman" w:hAnsi="Times New Roman" w:cs="Times New Roman" w:eastAsiaTheme="minorEastAsia"/>
                <w:kern w:val="0"/>
                <w:sz w:val="21"/>
                <w:szCs w:val="21"/>
                <w:lang w:eastAsia="zh-CN"/>
              </w:rPr>
              <w:t>公司战略聚焦车联网和公安执法规范化两大主航道，公司看好高新兴物联、高新兴智联及高新兴创联等主航道业务的行业发展趋势，在</w:t>
            </w:r>
            <w:r>
              <w:rPr>
                <w:rFonts w:hint="default" w:ascii="Times New Roman" w:hAnsi="Times New Roman" w:cs="Times New Roman" w:eastAsiaTheme="minorEastAsia"/>
                <w:kern w:val="0"/>
                <w:sz w:val="21"/>
                <w:szCs w:val="21"/>
                <w:lang w:val="en-US" w:eastAsia="zh-CN"/>
              </w:rPr>
              <w:t>2019年度业绩不及预期的情况下，</w:t>
            </w:r>
            <w:r>
              <w:rPr>
                <w:rFonts w:hint="default" w:ascii="Times New Roman" w:hAnsi="Times New Roman" w:cs="Times New Roman" w:eastAsiaTheme="minorEastAsia"/>
                <w:kern w:val="0"/>
                <w:sz w:val="21"/>
                <w:szCs w:val="21"/>
                <w:lang w:eastAsia="zh-CN"/>
              </w:rPr>
              <w:t>合理预计其未来</w:t>
            </w:r>
            <w:r>
              <w:rPr>
                <w:rFonts w:hint="default" w:ascii="Times New Roman" w:hAnsi="Times New Roman" w:cs="Times New Roman" w:eastAsiaTheme="minorEastAsia"/>
                <w:kern w:val="0"/>
                <w:sz w:val="21"/>
                <w:szCs w:val="21"/>
              </w:rPr>
              <w:t>业务</w:t>
            </w:r>
            <w:r>
              <w:rPr>
                <w:rFonts w:hint="default" w:ascii="Times New Roman" w:hAnsi="Times New Roman" w:cs="Times New Roman" w:eastAsiaTheme="minorEastAsia"/>
                <w:kern w:val="0"/>
                <w:sz w:val="21"/>
                <w:szCs w:val="21"/>
                <w:lang w:eastAsia="zh-CN"/>
              </w:rPr>
              <w:t>发展状况</w:t>
            </w:r>
            <w:r>
              <w:rPr>
                <w:rFonts w:hint="default" w:ascii="Times New Roman" w:hAnsi="Times New Roman" w:cs="Times New Roman" w:eastAsiaTheme="minorEastAsia"/>
                <w:kern w:val="0"/>
                <w:sz w:val="21"/>
                <w:szCs w:val="21"/>
              </w:rPr>
              <w:t>和</w:t>
            </w:r>
            <w:r>
              <w:rPr>
                <w:rFonts w:hint="default" w:ascii="Times New Roman" w:hAnsi="Times New Roman" w:cs="Times New Roman" w:eastAsiaTheme="minorEastAsia"/>
                <w:kern w:val="0"/>
                <w:sz w:val="21"/>
                <w:szCs w:val="21"/>
                <w:lang w:eastAsia="zh-CN"/>
              </w:rPr>
              <w:t>行业市场空间，给予的业绩增速符合整个行业的发展趋势。</w:t>
            </w:r>
          </w:p>
          <w:p>
            <w:pPr>
              <w:numPr>
                <w:ilvl w:val="0"/>
                <w:numId w:val="2"/>
              </w:numPr>
              <w:spacing w:line="360" w:lineRule="auto"/>
              <w:ind w:left="425" w:leftChars="0" w:hanging="205" w:firstLineChars="0"/>
              <w:jc w:val="left"/>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公司第二期股票期权激励计划（草案）中设定公司层面业绩考核目标</w:t>
            </w:r>
            <w:r>
              <w:rPr>
                <w:rFonts w:hint="default" w:ascii="Times New Roman" w:hAnsi="Times New Roman" w:cs="Times New Roman" w:eastAsiaTheme="minorEastAsia"/>
                <w:b/>
                <w:bCs/>
                <w:sz w:val="21"/>
                <w:szCs w:val="21"/>
              </w:rPr>
              <w:t>中预测的高速业绩增长</w:t>
            </w:r>
            <w:r>
              <w:rPr>
                <w:rFonts w:hint="default" w:ascii="Times New Roman" w:hAnsi="Times New Roman" w:cs="Times New Roman" w:eastAsiaTheme="minorEastAsia"/>
                <w:b/>
                <w:iCs/>
                <w:color w:val="000000"/>
                <w:sz w:val="21"/>
                <w:szCs w:val="21"/>
                <w:lang w:val="en-US" w:eastAsia="zh-CN"/>
              </w:rPr>
              <w:t>主要来源是公司哪些业务板块？</w:t>
            </w:r>
          </w:p>
          <w:p>
            <w:pPr>
              <w:widowControl/>
              <w:ind w:leftChars="100" w:firstLine="420" w:firstLineChars="200"/>
              <w:jc w:val="left"/>
              <w:rPr>
                <w:rFonts w:hint="default" w:ascii="Times New Roman" w:hAnsi="Times New Roman" w:cs="Times New Roman" w:eastAsiaTheme="minorEastAsia"/>
                <w:kern w:val="0"/>
                <w:sz w:val="21"/>
                <w:szCs w:val="21"/>
                <w:lang w:eastAsia="zh-CN"/>
              </w:rPr>
            </w:pPr>
            <w:r>
              <w:rPr>
                <w:rFonts w:hint="default" w:ascii="Times New Roman" w:hAnsi="Times New Roman" w:cs="Times New Roman" w:eastAsiaTheme="minorEastAsia"/>
                <w:kern w:val="0"/>
                <w:sz w:val="21"/>
                <w:szCs w:val="21"/>
              </w:rPr>
              <w:t>主要</w:t>
            </w:r>
            <w:r>
              <w:rPr>
                <w:rFonts w:hint="default" w:ascii="Times New Roman" w:hAnsi="Times New Roman" w:cs="Times New Roman" w:eastAsiaTheme="minorEastAsia"/>
                <w:kern w:val="0"/>
                <w:sz w:val="21"/>
                <w:szCs w:val="21"/>
                <w:lang w:eastAsia="zh-CN"/>
              </w:rPr>
              <w:t>还是看好公司车联网及公安执法规范化主航道业务布局的发展情况。</w:t>
            </w:r>
          </w:p>
          <w:p>
            <w:pPr>
              <w:widowControl/>
              <w:ind w:firstLine="420" w:firstLineChars="200"/>
              <w:jc w:val="left"/>
              <w:rPr>
                <w:rFonts w:hint="default" w:ascii="Times New Roman" w:hAnsi="Times New Roman" w:cs="Times New Roman" w:eastAsiaTheme="minorEastAsia"/>
                <w:kern w:val="0"/>
                <w:sz w:val="21"/>
                <w:szCs w:val="21"/>
                <w:lang w:val="en-US" w:eastAsia="zh-CN"/>
              </w:rPr>
            </w:pPr>
          </w:p>
          <w:p>
            <w:pPr>
              <w:numPr>
                <w:ilvl w:val="0"/>
                <w:numId w:val="2"/>
              </w:numPr>
              <w:spacing w:line="360" w:lineRule="auto"/>
              <w:ind w:left="425" w:leftChars="0" w:hanging="205" w:firstLineChars="0"/>
              <w:rPr>
                <w:rFonts w:hint="default" w:ascii="Times New Roman" w:hAnsi="Times New Roman" w:cs="Times New Roman" w:eastAsiaTheme="minorEastAsia"/>
                <w:b/>
                <w:iCs/>
                <w:color w:val="000000"/>
                <w:sz w:val="21"/>
                <w:szCs w:val="21"/>
                <w:lang w:val="en-US" w:eastAsia="zh-CN"/>
              </w:rPr>
            </w:pPr>
            <w:r>
              <w:rPr>
                <w:rFonts w:hint="default" w:ascii="Times New Roman" w:hAnsi="Times New Roman" w:cs="Times New Roman" w:eastAsiaTheme="minorEastAsia"/>
                <w:b/>
                <w:iCs/>
                <w:color w:val="000000"/>
                <w:sz w:val="21"/>
                <w:szCs w:val="21"/>
                <w:lang w:val="en-US" w:eastAsia="zh-CN"/>
              </w:rPr>
              <w:t>公司目前复工情况如何？</w:t>
            </w:r>
          </w:p>
          <w:p>
            <w:pPr>
              <w:numPr>
                <w:ilvl w:val="0"/>
                <w:numId w:val="0"/>
              </w:numPr>
              <w:spacing w:line="240" w:lineRule="auto"/>
              <w:ind w:leftChars="100" w:firstLine="420" w:firstLineChars="200"/>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bCs/>
                <w:iCs/>
                <w:color w:val="000000"/>
                <w:sz w:val="21"/>
                <w:szCs w:val="21"/>
                <w:lang w:val="en-US" w:eastAsia="zh-CN"/>
              </w:rPr>
              <w:t>公司2月3日起便开始线上办公，2月10日后大部分员工已返岗现场办公，目前全集团已有序复工，整体经营情况正常</w:t>
            </w:r>
            <w:r>
              <w:rPr>
                <w:rFonts w:hint="eastAsia" w:ascii="Times New Roman" w:hAnsi="Times New Roman" w:cs="Times New Roman" w:eastAsiaTheme="minorEastAsia"/>
                <w:bCs/>
                <w:iCs/>
                <w:color w:val="000000"/>
                <w:sz w:val="21"/>
                <w:szCs w:val="21"/>
                <w:lang w:val="en-US" w:eastAsia="zh-CN"/>
              </w:rPr>
              <w:t>。</w:t>
            </w:r>
            <w:r>
              <w:rPr>
                <w:rFonts w:hint="default" w:ascii="Times New Roman" w:hAnsi="Times New Roman" w:cs="Times New Roman" w:eastAsiaTheme="minorEastAsia"/>
                <w:bCs/>
                <w:iCs/>
                <w:color w:val="000000"/>
                <w:sz w:val="21"/>
                <w:szCs w:val="21"/>
                <w:lang w:val="en-US" w:eastAsia="zh-CN"/>
              </w:rPr>
              <w:t>随着目前疫情防控对公共安全保障投入需求的不断增加，人工智能、大数据等技术在此次抗“疫”中作用的凸显，越来越多的产业政策及行业支持都将为公司业务发展提供更多的机遇，公司也会积极承担一家上市企业应尽的社会责任，为打赢疫情防控战贡献最大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eastAsiaTheme="minorEastAsia"/>
                <w:bCs/>
                <w:iCs/>
                <w:color w:val="000000"/>
                <w:sz w:val="21"/>
                <w:szCs w:val="21"/>
              </w:rPr>
            </w:pPr>
            <w:r>
              <w:rPr>
                <w:rFonts w:hint="default" w:ascii="Times New Roman" w:hAnsi="Times New Roman" w:cs="Times New Roman" w:eastAsiaTheme="minorEastAsia"/>
                <w:bCs/>
                <w:iCs/>
                <w:color w:val="000000"/>
                <w:sz w:val="21"/>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eastAsiaTheme="minorEastAsia"/>
                <w:bCs/>
                <w:iCs/>
                <w:color w:val="000000"/>
                <w:sz w:val="21"/>
                <w:szCs w:val="21"/>
                <w:lang w:eastAsia="zh-CN"/>
              </w:rPr>
            </w:pPr>
            <w:r>
              <w:rPr>
                <w:rFonts w:hint="default" w:ascii="Times New Roman" w:hAnsi="Times New Roman" w:cs="Times New Roman" w:eastAsiaTheme="minorEastAsia"/>
                <w:bCs/>
                <w:iCs/>
                <w:color w:val="000000"/>
                <w:sz w:val="21"/>
                <w:szCs w:val="21"/>
                <w:lang w:eastAsia="zh-CN"/>
              </w:rPr>
              <w:t>请见附件《与会清单》</w:t>
            </w:r>
          </w:p>
        </w:tc>
      </w:tr>
    </w:tbl>
    <w:p>
      <w:pPr>
        <w:spacing w:line="400" w:lineRule="exact"/>
        <w:rPr>
          <w:rFonts w:hint="default" w:ascii="Times New Roman" w:hAnsi="Times New Roman" w:cs="Times New Roman" w:eastAsiaTheme="minorEastAsia"/>
        </w:rPr>
      </w:pPr>
    </w:p>
    <w:p>
      <w:pPr>
        <w:rPr>
          <w:rFonts w:hint="default" w:ascii="Times New Roman" w:hAnsi="Times New Roman" w:cs="Times New Roman" w:eastAsiaTheme="minorEastAsia"/>
        </w:rPr>
      </w:pPr>
    </w:p>
    <w:p>
      <w:pPr>
        <w:rPr>
          <w:rFonts w:hint="default" w:ascii="Times New Roman" w:hAnsi="Times New Roman" w:cs="Times New Roman" w:eastAsiaTheme="minorEastAsia"/>
          <w:b/>
          <w:bCs/>
          <w:lang w:eastAsia="zh-CN"/>
        </w:rPr>
      </w:pPr>
      <w:r>
        <w:rPr>
          <w:rFonts w:hint="default" w:ascii="Times New Roman" w:hAnsi="Times New Roman" w:cs="Times New Roman" w:eastAsiaTheme="minorEastAsia"/>
          <w:b/>
          <w:bCs/>
          <w:lang w:eastAsia="zh-CN"/>
        </w:rPr>
        <w:t>附件：《与会清单》</w:t>
      </w:r>
    </w:p>
    <w:tbl>
      <w:tblPr>
        <w:tblStyle w:val="8"/>
        <w:tblW w:w="7999" w:type="dxa"/>
        <w:tblInd w:w="-20" w:type="dxa"/>
        <w:shd w:val="clear" w:color="auto" w:fill="auto"/>
        <w:tblLayout w:type="fixed"/>
        <w:tblCellMar>
          <w:top w:w="0" w:type="dxa"/>
          <w:left w:w="0" w:type="dxa"/>
          <w:bottom w:w="0" w:type="dxa"/>
          <w:right w:w="0" w:type="dxa"/>
        </w:tblCellMar>
      </w:tblPr>
      <w:tblGrid>
        <w:gridCol w:w="4594"/>
        <w:gridCol w:w="3405"/>
      </w:tblGrid>
      <w:tr>
        <w:tblPrEx>
          <w:shd w:val="clear" w:color="auto" w:fill="auto"/>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i w:val="0"/>
                <w:color w:val="000000"/>
                <w:kern w:val="0"/>
                <w:sz w:val="18"/>
                <w:szCs w:val="18"/>
                <w:u w:val="none"/>
                <w:lang w:val="en-US" w:eastAsia="zh-CN" w:bidi="ar"/>
              </w:rPr>
              <w:t>公司名称</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kern w:val="0"/>
                <w:sz w:val="18"/>
                <w:szCs w:val="18"/>
                <w:u w:val="none"/>
                <w:lang w:val="en-US" w:eastAsia="zh-CN" w:bidi="ar"/>
              </w:rPr>
            </w:pPr>
            <w:r>
              <w:rPr>
                <w:rFonts w:hint="default" w:ascii="Times New Roman" w:hAnsi="Times New Roman" w:cs="Times New Roman" w:eastAsiaTheme="minorEastAsia"/>
                <w:i w:val="0"/>
                <w:color w:val="000000"/>
                <w:kern w:val="0"/>
                <w:sz w:val="18"/>
                <w:szCs w:val="18"/>
                <w:u w:val="none"/>
                <w:lang w:val="en-US" w:eastAsia="zh-CN" w:bidi="ar"/>
              </w:rPr>
              <w:t>公司名称</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China Merchants Fund Management</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上海海宸投资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China Re</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上海禾其投资咨询</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Elevation Capital</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上海汇利资产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Matthews Asia</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上海货力资产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OP Capital 奥陆资本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上海健顺投资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Prudence</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上海南土资产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安邦资产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上海启石资产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安信证券自营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上海筌笠资产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北京创新产业投资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上海仙湖投资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北京沣沛投资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上海永望资产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北京公能达投资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上海综艺控股</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北京合正投资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上银基金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北京市星石投资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绍兴睿源投资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北京曜德投资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深圳大道至诚投资管理</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北京永瑞财富投资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深圳道谊资产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北京祐盛投资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深圳宏鼎财富</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北信瑞丰</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深圳金泊投资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标朴投资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深圳龙腾资产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辰阳资产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深圳前海大千华严投资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成泉资本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深圳前海行健资本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诚通基金管理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深圳前海互兴资产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创金合信基金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深圳前海珞珈方圆资产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东方阿尔法基金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深圳前海普惠资产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东方港湾投资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深圳前海荣德金资产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东方证券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深圳前海粤鸿金融投资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东海证券（资管）</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深圳清水源投资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东海证券（自营）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深圳融科信资产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东吴基金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深圳市恒盈富达资产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东兴基金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深圳市景泰利丰资产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方弈投资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深圳市前海禾丰正则资产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丰和正勤投资管理（北京）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深圳市万杉资本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福建鑫诺嘉誉投资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深圳望正资产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富利达基金管理（珠海）</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深圳熙山资本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工银瑞信基金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深圳禹盛酒店投资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共青城辰泰投资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生命保险资产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冠丰资产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盛盈资本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光大证券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拾贝投资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光大资管</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世纪证券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广东钜洲投资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台灣富蘭克林華美</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广东浔峰投资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太平洋证券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广发证券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太平养老</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广州金域投资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太平资产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广州路德投资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泰山保险</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国海证券资产管理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泰信基金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国金证券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天风天睿投资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国盛证券研究所</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天风证券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国寿安保基金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天九资本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国寿资产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天时开元基金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国泰君安证券（自营）</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天治基金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国信证券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同犇投资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国元证券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同晟投资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海富通基金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万家基金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海通证券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万有道资产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瀚伦投资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万誉投资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杭州青士投资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务聚投资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好奇资产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湘财基金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灏羽投资（中汇金）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新华基金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合众资产管理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新华资产管理</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红塔证券资管</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新能集团</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红象投资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信诚基金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鸿道投资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信达澳银基金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湖北海聚方兴资产管理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兴业基金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湖南万泰华瑞投资管理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幸福人寿资管</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互兴资本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寻远资产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华安财保资产管理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雅戈尔投资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华安基金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阳光资产管理</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华福证券</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易正朗投资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华富基金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银华基金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华美国际投资集团</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寅石投资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华杉投资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英大证券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华商基金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盈信基金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华泰证券研究所</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永赢基金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华夏基金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涌峰投资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华裔集团</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友山基金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积善万嘉资产管理（大连）</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誉华资产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建信基金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源成投资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江苏瑞华投资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长城基金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金鹰基金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长谷资本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进门财经</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长江日昇</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精一天使基金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长江养老保险</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景顺长城基金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长盛基金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九泰基金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招商证券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矩阵投资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浙江翊晟资产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君和资本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浙商基金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凯丰投资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中国人寿养老保险</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路博迈基金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中国人寿资产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民生加银基金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中国中投证券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摩根士丹利华鑫基金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中海基金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南方基金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中恒星光资产</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南方天辰投资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中汇金研究院</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南华基金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中金资本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农银汇理基金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中科沃土基金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诺安基金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中欧基金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诺德基金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中融基金</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鹏华基金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中融信托</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平安养老保险</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中睿合银投资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浦银安盛基金</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中泰证券研究所</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启元资本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中泰自营</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秋阳投资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中信保诚</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仁布投资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中信建投证券资产管理部</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睿柏资本</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中信银行资产管理中心</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三顾投资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中信证券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厦门坤易投资</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中银国际证券</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上海枫池资产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中钰康健资本管理（北京）</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上海谷誉资产</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中域投资</w:t>
            </w:r>
          </w:p>
        </w:tc>
      </w:tr>
      <w:tr>
        <w:tblPrEx>
          <w:tblCellMar>
            <w:top w:w="0" w:type="dxa"/>
            <w:left w:w="0" w:type="dxa"/>
            <w:bottom w:w="0" w:type="dxa"/>
            <w:right w:w="0" w:type="dxa"/>
          </w:tblCellMar>
        </w:tblPrEx>
        <w:trPr>
          <w:trHeight w:val="255" w:hRule="atLeast"/>
        </w:trPr>
        <w:tc>
          <w:tcPr>
            <w:tcW w:w="45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r>
              <w:rPr>
                <w:rFonts w:hint="default" w:ascii="Times New Roman" w:hAnsi="Times New Roman" w:cs="Times New Roman" w:eastAsiaTheme="minorEastAsia"/>
                <w:i w:val="0"/>
                <w:color w:val="000000"/>
                <w:kern w:val="0"/>
                <w:sz w:val="18"/>
                <w:szCs w:val="18"/>
                <w:u w:val="none"/>
                <w:lang w:val="en-US" w:eastAsia="zh-CN" w:bidi="ar"/>
              </w:rPr>
              <w:t>中阅资本管理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eastAsiaTheme="minorEastAsia"/>
                <w:i w:val="0"/>
                <w:color w:val="000000"/>
                <w:sz w:val="18"/>
                <w:szCs w:val="18"/>
                <w:u w:val="none"/>
              </w:rPr>
            </w:pPr>
          </w:p>
        </w:tc>
      </w:tr>
    </w:tbl>
    <w:p>
      <w:pPr>
        <w:rPr>
          <w:rFonts w:hint="default" w:ascii="Times New Roman" w:hAnsi="Times New Roman" w:cs="Times New Roman" w:eastAsiaTheme="minorEastAsia"/>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5AFC97"/>
    <w:multiLevelType w:val="singleLevel"/>
    <w:tmpl w:val="D85AFC97"/>
    <w:lvl w:ilvl="0" w:tentative="0">
      <w:start w:val="1"/>
      <w:numFmt w:val="decimal"/>
      <w:lvlText w:val="%1."/>
      <w:lvlJc w:val="left"/>
      <w:pPr>
        <w:ind w:left="425" w:hanging="425"/>
      </w:pPr>
      <w:rPr>
        <w:rFonts w:hint="default"/>
      </w:rPr>
    </w:lvl>
  </w:abstractNum>
  <w:abstractNum w:abstractNumId="1">
    <w:nsid w:val="7236E481"/>
    <w:multiLevelType w:val="singleLevel"/>
    <w:tmpl w:val="7236E481"/>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37162"/>
    <w:rsid w:val="00052D71"/>
    <w:rsid w:val="0006544D"/>
    <w:rsid w:val="000740B9"/>
    <w:rsid w:val="0009694D"/>
    <w:rsid w:val="000A6E2E"/>
    <w:rsid w:val="000E2EDB"/>
    <w:rsid w:val="000F141A"/>
    <w:rsid w:val="000F5440"/>
    <w:rsid w:val="000F7885"/>
    <w:rsid w:val="0012327A"/>
    <w:rsid w:val="00125C4F"/>
    <w:rsid w:val="0013246B"/>
    <w:rsid w:val="00137334"/>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11AB"/>
    <w:rsid w:val="0033260C"/>
    <w:rsid w:val="00335B8D"/>
    <w:rsid w:val="003478FD"/>
    <w:rsid w:val="0035542B"/>
    <w:rsid w:val="00355E8A"/>
    <w:rsid w:val="00373FA7"/>
    <w:rsid w:val="0038184A"/>
    <w:rsid w:val="00383326"/>
    <w:rsid w:val="00393126"/>
    <w:rsid w:val="003A2DCA"/>
    <w:rsid w:val="003A5E37"/>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4763A"/>
    <w:rsid w:val="006633B5"/>
    <w:rsid w:val="00664427"/>
    <w:rsid w:val="0066721E"/>
    <w:rsid w:val="00672FD1"/>
    <w:rsid w:val="00676307"/>
    <w:rsid w:val="00691F80"/>
    <w:rsid w:val="00697BAA"/>
    <w:rsid w:val="006A5756"/>
    <w:rsid w:val="006B40C6"/>
    <w:rsid w:val="006E15F2"/>
    <w:rsid w:val="006E4082"/>
    <w:rsid w:val="00712941"/>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36716"/>
    <w:rsid w:val="00851610"/>
    <w:rsid w:val="00863A76"/>
    <w:rsid w:val="008951BD"/>
    <w:rsid w:val="008A62A0"/>
    <w:rsid w:val="008B24D4"/>
    <w:rsid w:val="008B63AC"/>
    <w:rsid w:val="008B79AE"/>
    <w:rsid w:val="008C339B"/>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56A3C"/>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1308"/>
    <w:rsid w:val="00AF58DD"/>
    <w:rsid w:val="00B02061"/>
    <w:rsid w:val="00B22A81"/>
    <w:rsid w:val="00B33A3D"/>
    <w:rsid w:val="00B37341"/>
    <w:rsid w:val="00B402C2"/>
    <w:rsid w:val="00B606AA"/>
    <w:rsid w:val="00B6688F"/>
    <w:rsid w:val="00B762E2"/>
    <w:rsid w:val="00B7782A"/>
    <w:rsid w:val="00B81F92"/>
    <w:rsid w:val="00B91A17"/>
    <w:rsid w:val="00B93801"/>
    <w:rsid w:val="00B93EC7"/>
    <w:rsid w:val="00BA433C"/>
    <w:rsid w:val="00BD2D86"/>
    <w:rsid w:val="00BD722E"/>
    <w:rsid w:val="00BD78DE"/>
    <w:rsid w:val="00BE0007"/>
    <w:rsid w:val="00BE4AAE"/>
    <w:rsid w:val="00BF10C0"/>
    <w:rsid w:val="00C22E3D"/>
    <w:rsid w:val="00C33CDB"/>
    <w:rsid w:val="00C47F64"/>
    <w:rsid w:val="00C5660E"/>
    <w:rsid w:val="00C66AE3"/>
    <w:rsid w:val="00C744C2"/>
    <w:rsid w:val="00C80873"/>
    <w:rsid w:val="00C840F0"/>
    <w:rsid w:val="00CB16AC"/>
    <w:rsid w:val="00CB3245"/>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251"/>
    <w:rsid w:val="00DB1549"/>
    <w:rsid w:val="00DB1D4F"/>
    <w:rsid w:val="00DD1B16"/>
    <w:rsid w:val="00DD3439"/>
    <w:rsid w:val="00DE5F46"/>
    <w:rsid w:val="00E26A56"/>
    <w:rsid w:val="00E35D8D"/>
    <w:rsid w:val="00E43F00"/>
    <w:rsid w:val="00E45F51"/>
    <w:rsid w:val="00E46532"/>
    <w:rsid w:val="00E50359"/>
    <w:rsid w:val="00E64773"/>
    <w:rsid w:val="00E83C6C"/>
    <w:rsid w:val="00EB669B"/>
    <w:rsid w:val="00EB6D5C"/>
    <w:rsid w:val="00EC2172"/>
    <w:rsid w:val="00EC78DC"/>
    <w:rsid w:val="00EE4EFA"/>
    <w:rsid w:val="00F03150"/>
    <w:rsid w:val="00F258D9"/>
    <w:rsid w:val="00F350B6"/>
    <w:rsid w:val="00F6080C"/>
    <w:rsid w:val="00F70A19"/>
    <w:rsid w:val="00F82854"/>
    <w:rsid w:val="00F83FD0"/>
    <w:rsid w:val="00F868DD"/>
    <w:rsid w:val="00F902A7"/>
    <w:rsid w:val="00F9455B"/>
    <w:rsid w:val="00F94C1D"/>
    <w:rsid w:val="00FA3584"/>
    <w:rsid w:val="00FA4EAF"/>
    <w:rsid w:val="00FB233F"/>
    <w:rsid w:val="00FC58AE"/>
    <w:rsid w:val="00FF379B"/>
    <w:rsid w:val="0177116A"/>
    <w:rsid w:val="02020072"/>
    <w:rsid w:val="022645EA"/>
    <w:rsid w:val="02460EAA"/>
    <w:rsid w:val="02BD4372"/>
    <w:rsid w:val="02CF37BC"/>
    <w:rsid w:val="02DE679C"/>
    <w:rsid w:val="030F6F77"/>
    <w:rsid w:val="035E2699"/>
    <w:rsid w:val="03627609"/>
    <w:rsid w:val="03D73223"/>
    <w:rsid w:val="04433E88"/>
    <w:rsid w:val="04CE4671"/>
    <w:rsid w:val="04F157C2"/>
    <w:rsid w:val="053058C0"/>
    <w:rsid w:val="05CD294D"/>
    <w:rsid w:val="05EF6B6F"/>
    <w:rsid w:val="061A135F"/>
    <w:rsid w:val="063F4B18"/>
    <w:rsid w:val="06554661"/>
    <w:rsid w:val="06645B08"/>
    <w:rsid w:val="067A25B2"/>
    <w:rsid w:val="067C2A6B"/>
    <w:rsid w:val="06B91390"/>
    <w:rsid w:val="07076DFF"/>
    <w:rsid w:val="07B01A85"/>
    <w:rsid w:val="07CE4416"/>
    <w:rsid w:val="0866522A"/>
    <w:rsid w:val="0867184C"/>
    <w:rsid w:val="086740D4"/>
    <w:rsid w:val="08A76578"/>
    <w:rsid w:val="08E21D85"/>
    <w:rsid w:val="090A738B"/>
    <w:rsid w:val="09380BE1"/>
    <w:rsid w:val="095407B2"/>
    <w:rsid w:val="096C38B7"/>
    <w:rsid w:val="09A8777C"/>
    <w:rsid w:val="09B36B31"/>
    <w:rsid w:val="09D7104D"/>
    <w:rsid w:val="0A1542EB"/>
    <w:rsid w:val="0A3D5385"/>
    <w:rsid w:val="0A9B5B54"/>
    <w:rsid w:val="0AF414C2"/>
    <w:rsid w:val="0B5C0E15"/>
    <w:rsid w:val="0BB32E44"/>
    <w:rsid w:val="0C8D24F2"/>
    <w:rsid w:val="0CAC073D"/>
    <w:rsid w:val="0DA25A50"/>
    <w:rsid w:val="0DB83143"/>
    <w:rsid w:val="0DBA2D0F"/>
    <w:rsid w:val="0DC1432D"/>
    <w:rsid w:val="0DE3239A"/>
    <w:rsid w:val="0E13091C"/>
    <w:rsid w:val="0FCD7E8D"/>
    <w:rsid w:val="10382F11"/>
    <w:rsid w:val="115172A9"/>
    <w:rsid w:val="11AF31C6"/>
    <w:rsid w:val="11D93754"/>
    <w:rsid w:val="11F52141"/>
    <w:rsid w:val="12533A46"/>
    <w:rsid w:val="12554EFB"/>
    <w:rsid w:val="126C48E2"/>
    <w:rsid w:val="12731335"/>
    <w:rsid w:val="12896B3E"/>
    <w:rsid w:val="13551B27"/>
    <w:rsid w:val="137B7870"/>
    <w:rsid w:val="13DB0F4E"/>
    <w:rsid w:val="142C319B"/>
    <w:rsid w:val="14330E77"/>
    <w:rsid w:val="144E03CF"/>
    <w:rsid w:val="14672DA5"/>
    <w:rsid w:val="1470655A"/>
    <w:rsid w:val="14817E39"/>
    <w:rsid w:val="14B50D3F"/>
    <w:rsid w:val="14D12483"/>
    <w:rsid w:val="153A0651"/>
    <w:rsid w:val="155B4AE2"/>
    <w:rsid w:val="15913322"/>
    <w:rsid w:val="15CC2118"/>
    <w:rsid w:val="15E7238B"/>
    <w:rsid w:val="161E3919"/>
    <w:rsid w:val="162D6186"/>
    <w:rsid w:val="16442A37"/>
    <w:rsid w:val="164C3629"/>
    <w:rsid w:val="16863098"/>
    <w:rsid w:val="1699677E"/>
    <w:rsid w:val="16F6459E"/>
    <w:rsid w:val="177744EB"/>
    <w:rsid w:val="17A31DBB"/>
    <w:rsid w:val="17FE779D"/>
    <w:rsid w:val="18993582"/>
    <w:rsid w:val="18CA7CCD"/>
    <w:rsid w:val="18D05710"/>
    <w:rsid w:val="191C797D"/>
    <w:rsid w:val="192F075B"/>
    <w:rsid w:val="1965684C"/>
    <w:rsid w:val="19D41070"/>
    <w:rsid w:val="19F009BA"/>
    <w:rsid w:val="19F43EA9"/>
    <w:rsid w:val="1A373E27"/>
    <w:rsid w:val="1B612FD5"/>
    <w:rsid w:val="1B7577B7"/>
    <w:rsid w:val="1B793CFC"/>
    <w:rsid w:val="1B8D53F5"/>
    <w:rsid w:val="1BBE0E86"/>
    <w:rsid w:val="1BD70BB5"/>
    <w:rsid w:val="1BF87FB1"/>
    <w:rsid w:val="1C372BD8"/>
    <w:rsid w:val="1C6E70D7"/>
    <w:rsid w:val="1C79530D"/>
    <w:rsid w:val="1CDB2011"/>
    <w:rsid w:val="1CF1570E"/>
    <w:rsid w:val="1D153B53"/>
    <w:rsid w:val="1D4938D3"/>
    <w:rsid w:val="1D973CA1"/>
    <w:rsid w:val="1DAB321C"/>
    <w:rsid w:val="1DB36B9B"/>
    <w:rsid w:val="1DE64D3B"/>
    <w:rsid w:val="1DE80787"/>
    <w:rsid w:val="1E0239B1"/>
    <w:rsid w:val="1FE707D8"/>
    <w:rsid w:val="2012793A"/>
    <w:rsid w:val="203F2571"/>
    <w:rsid w:val="204F5563"/>
    <w:rsid w:val="207D6093"/>
    <w:rsid w:val="21092635"/>
    <w:rsid w:val="211A1EB8"/>
    <w:rsid w:val="21A53A2A"/>
    <w:rsid w:val="22727A0B"/>
    <w:rsid w:val="227A6273"/>
    <w:rsid w:val="22DC6DEF"/>
    <w:rsid w:val="231B1879"/>
    <w:rsid w:val="23313355"/>
    <w:rsid w:val="23532B2F"/>
    <w:rsid w:val="23710F43"/>
    <w:rsid w:val="240A50E5"/>
    <w:rsid w:val="2496713E"/>
    <w:rsid w:val="24BE0EC8"/>
    <w:rsid w:val="256A5B6C"/>
    <w:rsid w:val="258A2F94"/>
    <w:rsid w:val="25A10939"/>
    <w:rsid w:val="25DC5E37"/>
    <w:rsid w:val="25F4775F"/>
    <w:rsid w:val="26077BA8"/>
    <w:rsid w:val="262A2D91"/>
    <w:rsid w:val="26466A36"/>
    <w:rsid w:val="266E6EC0"/>
    <w:rsid w:val="2690122B"/>
    <w:rsid w:val="269E16BD"/>
    <w:rsid w:val="26EE4488"/>
    <w:rsid w:val="27104822"/>
    <w:rsid w:val="27900456"/>
    <w:rsid w:val="27B63572"/>
    <w:rsid w:val="27BC6E9B"/>
    <w:rsid w:val="27CC2FFC"/>
    <w:rsid w:val="27E53B0E"/>
    <w:rsid w:val="28733F65"/>
    <w:rsid w:val="289F6213"/>
    <w:rsid w:val="28D82D64"/>
    <w:rsid w:val="28FE79F5"/>
    <w:rsid w:val="29100149"/>
    <w:rsid w:val="2922555B"/>
    <w:rsid w:val="29232AE2"/>
    <w:rsid w:val="295603C0"/>
    <w:rsid w:val="29D85C4B"/>
    <w:rsid w:val="2A2D1FFC"/>
    <w:rsid w:val="2A30081D"/>
    <w:rsid w:val="2A3C4A25"/>
    <w:rsid w:val="2A3E06A2"/>
    <w:rsid w:val="2A580B12"/>
    <w:rsid w:val="2AD6609D"/>
    <w:rsid w:val="2AE4385D"/>
    <w:rsid w:val="2AEF1A2A"/>
    <w:rsid w:val="2B0928DA"/>
    <w:rsid w:val="2B133D23"/>
    <w:rsid w:val="2B4F01BD"/>
    <w:rsid w:val="2B6A3A3B"/>
    <w:rsid w:val="2BC14E00"/>
    <w:rsid w:val="2C1D303F"/>
    <w:rsid w:val="2C7C7536"/>
    <w:rsid w:val="2CBD20FC"/>
    <w:rsid w:val="2D031D8C"/>
    <w:rsid w:val="2D04268A"/>
    <w:rsid w:val="2D7149BB"/>
    <w:rsid w:val="2D9062E6"/>
    <w:rsid w:val="2DAC2042"/>
    <w:rsid w:val="2DB573CD"/>
    <w:rsid w:val="2DC76723"/>
    <w:rsid w:val="2DCC79A8"/>
    <w:rsid w:val="2E110C0F"/>
    <w:rsid w:val="2E2D59E4"/>
    <w:rsid w:val="2E306053"/>
    <w:rsid w:val="2E735844"/>
    <w:rsid w:val="2E7F585E"/>
    <w:rsid w:val="2EE83B60"/>
    <w:rsid w:val="2EFA3A1E"/>
    <w:rsid w:val="2F9B0CF4"/>
    <w:rsid w:val="2F9D5F3A"/>
    <w:rsid w:val="2FCB16B2"/>
    <w:rsid w:val="2FDF1F05"/>
    <w:rsid w:val="2FE6092B"/>
    <w:rsid w:val="308A2FC6"/>
    <w:rsid w:val="30AD398C"/>
    <w:rsid w:val="310D0B08"/>
    <w:rsid w:val="31A50B61"/>
    <w:rsid w:val="31B342E9"/>
    <w:rsid w:val="31C61E33"/>
    <w:rsid w:val="31CB2FF8"/>
    <w:rsid w:val="31D8121F"/>
    <w:rsid w:val="31EC3FF8"/>
    <w:rsid w:val="324F3A9E"/>
    <w:rsid w:val="32842E15"/>
    <w:rsid w:val="32A35ADA"/>
    <w:rsid w:val="32BA3DD6"/>
    <w:rsid w:val="32BE05E9"/>
    <w:rsid w:val="32FC1CEF"/>
    <w:rsid w:val="33220658"/>
    <w:rsid w:val="337C4CFE"/>
    <w:rsid w:val="338E56FF"/>
    <w:rsid w:val="33EA0AF5"/>
    <w:rsid w:val="33ED213B"/>
    <w:rsid w:val="341C18F3"/>
    <w:rsid w:val="34506B7F"/>
    <w:rsid w:val="35185E2B"/>
    <w:rsid w:val="3522678D"/>
    <w:rsid w:val="352C6D80"/>
    <w:rsid w:val="354E0C51"/>
    <w:rsid w:val="35D26FB2"/>
    <w:rsid w:val="35F60144"/>
    <w:rsid w:val="3615432C"/>
    <w:rsid w:val="3626011B"/>
    <w:rsid w:val="363825F5"/>
    <w:rsid w:val="36621C84"/>
    <w:rsid w:val="36B20502"/>
    <w:rsid w:val="36EE6DEC"/>
    <w:rsid w:val="36F92C86"/>
    <w:rsid w:val="370D7F2B"/>
    <w:rsid w:val="37751B7C"/>
    <w:rsid w:val="37A72B6F"/>
    <w:rsid w:val="37AA683A"/>
    <w:rsid w:val="38796140"/>
    <w:rsid w:val="38B669E3"/>
    <w:rsid w:val="38DC4AED"/>
    <w:rsid w:val="38F972B1"/>
    <w:rsid w:val="393038E9"/>
    <w:rsid w:val="39632569"/>
    <w:rsid w:val="397E5EE8"/>
    <w:rsid w:val="3A2D2BD5"/>
    <w:rsid w:val="3A981A22"/>
    <w:rsid w:val="3AC139A3"/>
    <w:rsid w:val="3B720785"/>
    <w:rsid w:val="3B79257F"/>
    <w:rsid w:val="3BB85989"/>
    <w:rsid w:val="3CBD1D91"/>
    <w:rsid w:val="3CFD7D8B"/>
    <w:rsid w:val="3D4456E2"/>
    <w:rsid w:val="3D720050"/>
    <w:rsid w:val="3D84706A"/>
    <w:rsid w:val="3DEE57BF"/>
    <w:rsid w:val="3E320D99"/>
    <w:rsid w:val="3E4E72BD"/>
    <w:rsid w:val="3E7A6736"/>
    <w:rsid w:val="3E7B5C14"/>
    <w:rsid w:val="3EB764EC"/>
    <w:rsid w:val="3EF53FFA"/>
    <w:rsid w:val="3F08328F"/>
    <w:rsid w:val="3F4C2FA0"/>
    <w:rsid w:val="3F645FC4"/>
    <w:rsid w:val="3F91497E"/>
    <w:rsid w:val="3F9310F8"/>
    <w:rsid w:val="3FC127D3"/>
    <w:rsid w:val="3FD5595A"/>
    <w:rsid w:val="3FFF0FB8"/>
    <w:rsid w:val="402F65CE"/>
    <w:rsid w:val="40AC2490"/>
    <w:rsid w:val="40E50366"/>
    <w:rsid w:val="41677507"/>
    <w:rsid w:val="41AD59A4"/>
    <w:rsid w:val="41BE3F5E"/>
    <w:rsid w:val="41D836BB"/>
    <w:rsid w:val="420C594A"/>
    <w:rsid w:val="42425AB2"/>
    <w:rsid w:val="4291510D"/>
    <w:rsid w:val="439C18B4"/>
    <w:rsid w:val="43B10BFB"/>
    <w:rsid w:val="43DD18D6"/>
    <w:rsid w:val="44000925"/>
    <w:rsid w:val="443B34FC"/>
    <w:rsid w:val="443C4B54"/>
    <w:rsid w:val="444410AF"/>
    <w:rsid w:val="449B3813"/>
    <w:rsid w:val="44BE35AC"/>
    <w:rsid w:val="45BC7566"/>
    <w:rsid w:val="45C96118"/>
    <w:rsid w:val="46043BB5"/>
    <w:rsid w:val="469511DE"/>
    <w:rsid w:val="46B513FB"/>
    <w:rsid w:val="46BC5812"/>
    <w:rsid w:val="46D35917"/>
    <w:rsid w:val="47016A84"/>
    <w:rsid w:val="47052100"/>
    <w:rsid w:val="475B0355"/>
    <w:rsid w:val="47787013"/>
    <w:rsid w:val="47AB6411"/>
    <w:rsid w:val="47C9204B"/>
    <w:rsid w:val="483D6EF9"/>
    <w:rsid w:val="48A946FE"/>
    <w:rsid w:val="496A77EF"/>
    <w:rsid w:val="497546DE"/>
    <w:rsid w:val="49A465B9"/>
    <w:rsid w:val="49E929CA"/>
    <w:rsid w:val="4A0E6E1E"/>
    <w:rsid w:val="4A3B7194"/>
    <w:rsid w:val="4A715053"/>
    <w:rsid w:val="4B000BF6"/>
    <w:rsid w:val="4B226778"/>
    <w:rsid w:val="4B6325FA"/>
    <w:rsid w:val="4B941B11"/>
    <w:rsid w:val="4B9E29A4"/>
    <w:rsid w:val="4BCA7E83"/>
    <w:rsid w:val="4C3D0A97"/>
    <w:rsid w:val="4C72592F"/>
    <w:rsid w:val="4CAD124F"/>
    <w:rsid w:val="4D143D05"/>
    <w:rsid w:val="4D725800"/>
    <w:rsid w:val="4DAA7DB4"/>
    <w:rsid w:val="4DD52E24"/>
    <w:rsid w:val="4E184F7F"/>
    <w:rsid w:val="4E2E32C5"/>
    <w:rsid w:val="4E69113E"/>
    <w:rsid w:val="4E987430"/>
    <w:rsid w:val="4EE85A48"/>
    <w:rsid w:val="4EFF0DA5"/>
    <w:rsid w:val="4F4A44CB"/>
    <w:rsid w:val="4F514EC3"/>
    <w:rsid w:val="4F8A3F75"/>
    <w:rsid w:val="4FB231B0"/>
    <w:rsid w:val="4FF0334A"/>
    <w:rsid w:val="502A20B8"/>
    <w:rsid w:val="5031572A"/>
    <w:rsid w:val="505B02FA"/>
    <w:rsid w:val="506D5550"/>
    <w:rsid w:val="50D80D16"/>
    <w:rsid w:val="50FF2A46"/>
    <w:rsid w:val="5113429C"/>
    <w:rsid w:val="514C48D6"/>
    <w:rsid w:val="518B635C"/>
    <w:rsid w:val="51B23B59"/>
    <w:rsid w:val="51C001A0"/>
    <w:rsid w:val="52115A40"/>
    <w:rsid w:val="522B0BBD"/>
    <w:rsid w:val="523A1744"/>
    <w:rsid w:val="527043DA"/>
    <w:rsid w:val="528100A1"/>
    <w:rsid w:val="5391694B"/>
    <w:rsid w:val="53FC5CCD"/>
    <w:rsid w:val="542A30D8"/>
    <w:rsid w:val="54BB7174"/>
    <w:rsid w:val="54D53DF4"/>
    <w:rsid w:val="54ED7CB3"/>
    <w:rsid w:val="551F6CC5"/>
    <w:rsid w:val="55232E6B"/>
    <w:rsid w:val="55261887"/>
    <w:rsid w:val="552C38D6"/>
    <w:rsid w:val="55445CB4"/>
    <w:rsid w:val="558908AA"/>
    <w:rsid w:val="55977BE1"/>
    <w:rsid w:val="55D40E91"/>
    <w:rsid w:val="56107841"/>
    <w:rsid w:val="56346DF1"/>
    <w:rsid w:val="5669286D"/>
    <w:rsid w:val="56BB0C0E"/>
    <w:rsid w:val="5711499D"/>
    <w:rsid w:val="575D415A"/>
    <w:rsid w:val="576F2D93"/>
    <w:rsid w:val="57742C7C"/>
    <w:rsid w:val="57822543"/>
    <w:rsid w:val="579872A8"/>
    <w:rsid w:val="57AC2DE5"/>
    <w:rsid w:val="57E748D2"/>
    <w:rsid w:val="57EE4A58"/>
    <w:rsid w:val="57F05A58"/>
    <w:rsid w:val="57FC65FB"/>
    <w:rsid w:val="58172DC5"/>
    <w:rsid w:val="588033EC"/>
    <w:rsid w:val="58982888"/>
    <w:rsid w:val="590375A6"/>
    <w:rsid w:val="59BF3F9F"/>
    <w:rsid w:val="59FB6DB1"/>
    <w:rsid w:val="5A033011"/>
    <w:rsid w:val="5A373BA6"/>
    <w:rsid w:val="5AA76929"/>
    <w:rsid w:val="5AE93763"/>
    <w:rsid w:val="5B7C5113"/>
    <w:rsid w:val="5B9D2225"/>
    <w:rsid w:val="5BFF7929"/>
    <w:rsid w:val="5C435500"/>
    <w:rsid w:val="5C545C14"/>
    <w:rsid w:val="5C7913A4"/>
    <w:rsid w:val="5CBD3223"/>
    <w:rsid w:val="5CEB0490"/>
    <w:rsid w:val="5CF64A50"/>
    <w:rsid w:val="5D117C91"/>
    <w:rsid w:val="5DB66400"/>
    <w:rsid w:val="5DD904C4"/>
    <w:rsid w:val="5E3927AA"/>
    <w:rsid w:val="5F7C680D"/>
    <w:rsid w:val="5F882AF4"/>
    <w:rsid w:val="5FAB2A7A"/>
    <w:rsid w:val="5FF67529"/>
    <w:rsid w:val="5FFB1252"/>
    <w:rsid w:val="6056164C"/>
    <w:rsid w:val="609903B3"/>
    <w:rsid w:val="6115717C"/>
    <w:rsid w:val="611F37C6"/>
    <w:rsid w:val="6168664B"/>
    <w:rsid w:val="61856D84"/>
    <w:rsid w:val="618723D9"/>
    <w:rsid w:val="61A9695E"/>
    <w:rsid w:val="61F93AE7"/>
    <w:rsid w:val="621C496A"/>
    <w:rsid w:val="622A69AF"/>
    <w:rsid w:val="627537F2"/>
    <w:rsid w:val="62B67235"/>
    <w:rsid w:val="630135EA"/>
    <w:rsid w:val="631B5BFD"/>
    <w:rsid w:val="63294C70"/>
    <w:rsid w:val="634D58E7"/>
    <w:rsid w:val="6365609D"/>
    <w:rsid w:val="6370365C"/>
    <w:rsid w:val="63833AB6"/>
    <w:rsid w:val="63C54B34"/>
    <w:rsid w:val="63F43A2A"/>
    <w:rsid w:val="645A3C1F"/>
    <w:rsid w:val="647942F8"/>
    <w:rsid w:val="65D21B1D"/>
    <w:rsid w:val="6649508B"/>
    <w:rsid w:val="66517156"/>
    <w:rsid w:val="66D5507E"/>
    <w:rsid w:val="66E41B99"/>
    <w:rsid w:val="679C12BF"/>
    <w:rsid w:val="67BE221D"/>
    <w:rsid w:val="68540871"/>
    <w:rsid w:val="68A03BD5"/>
    <w:rsid w:val="68AC4E92"/>
    <w:rsid w:val="695D4E2A"/>
    <w:rsid w:val="69A9676A"/>
    <w:rsid w:val="6A772961"/>
    <w:rsid w:val="6A9A4C71"/>
    <w:rsid w:val="6B7453E2"/>
    <w:rsid w:val="6B924E17"/>
    <w:rsid w:val="6BC24006"/>
    <w:rsid w:val="6C0350D5"/>
    <w:rsid w:val="6C2767E2"/>
    <w:rsid w:val="6CB711CF"/>
    <w:rsid w:val="6CEA579A"/>
    <w:rsid w:val="6D4F2E55"/>
    <w:rsid w:val="6D683503"/>
    <w:rsid w:val="6D84075B"/>
    <w:rsid w:val="6D9918FF"/>
    <w:rsid w:val="6DC611F1"/>
    <w:rsid w:val="6E23576C"/>
    <w:rsid w:val="6E8142DD"/>
    <w:rsid w:val="6E861365"/>
    <w:rsid w:val="6EEA295F"/>
    <w:rsid w:val="6EFA3281"/>
    <w:rsid w:val="6F1349A3"/>
    <w:rsid w:val="6F666C8F"/>
    <w:rsid w:val="6F731A83"/>
    <w:rsid w:val="6FE01EBA"/>
    <w:rsid w:val="701C14E9"/>
    <w:rsid w:val="705B5D9A"/>
    <w:rsid w:val="70B05621"/>
    <w:rsid w:val="70EE2889"/>
    <w:rsid w:val="713D3625"/>
    <w:rsid w:val="71A65C86"/>
    <w:rsid w:val="71BF1D2E"/>
    <w:rsid w:val="71CD0CBC"/>
    <w:rsid w:val="71CD66B5"/>
    <w:rsid w:val="720A6D67"/>
    <w:rsid w:val="727E54C9"/>
    <w:rsid w:val="72B34337"/>
    <w:rsid w:val="73065A47"/>
    <w:rsid w:val="730714C3"/>
    <w:rsid w:val="733C0B34"/>
    <w:rsid w:val="7365125A"/>
    <w:rsid w:val="73A502B8"/>
    <w:rsid w:val="742F4543"/>
    <w:rsid w:val="7471287F"/>
    <w:rsid w:val="74732DE9"/>
    <w:rsid w:val="74872E58"/>
    <w:rsid w:val="74F67E87"/>
    <w:rsid w:val="74FD79F2"/>
    <w:rsid w:val="7500469D"/>
    <w:rsid w:val="75712108"/>
    <w:rsid w:val="75AC69A9"/>
    <w:rsid w:val="75BD3D27"/>
    <w:rsid w:val="76027154"/>
    <w:rsid w:val="77486B4D"/>
    <w:rsid w:val="779C655A"/>
    <w:rsid w:val="77A50CAF"/>
    <w:rsid w:val="77DC291F"/>
    <w:rsid w:val="780A1DC1"/>
    <w:rsid w:val="78192353"/>
    <w:rsid w:val="781E3C0D"/>
    <w:rsid w:val="785B27A8"/>
    <w:rsid w:val="78C11379"/>
    <w:rsid w:val="78DB7236"/>
    <w:rsid w:val="78FB7746"/>
    <w:rsid w:val="793F7406"/>
    <w:rsid w:val="7A0A43E7"/>
    <w:rsid w:val="7A20208A"/>
    <w:rsid w:val="7A2A2AFD"/>
    <w:rsid w:val="7A864847"/>
    <w:rsid w:val="7ADD5ACD"/>
    <w:rsid w:val="7AEC26A5"/>
    <w:rsid w:val="7B224551"/>
    <w:rsid w:val="7B666ECA"/>
    <w:rsid w:val="7B9D5080"/>
    <w:rsid w:val="7BDF5ACB"/>
    <w:rsid w:val="7CFA7DE7"/>
    <w:rsid w:val="7D1B7BCB"/>
    <w:rsid w:val="7D4F7D24"/>
    <w:rsid w:val="7D6527D7"/>
    <w:rsid w:val="7D6B1763"/>
    <w:rsid w:val="7D7B2E72"/>
    <w:rsid w:val="7DB77458"/>
    <w:rsid w:val="7DF2527D"/>
    <w:rsid w:val="7E0348E1"/>
    <w:rsid w:val="7E7978E3"/>
    <w:rsid w:val="7E964242"/>
    <w:rsid w:val="7EE72DC0"/>
    <w:rsid w:val="7F222F63"/>
    <w:rsid w:val="7F2501D5"/>
    <w:rsid w:val="7F3136C4"/>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alloon Text"/>
    <w:basedOn w:val="1"/>
    <w:link w:val="21"/>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3"/>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HTML Code"/>
    <w:basedOn w:val="9"/>
    <w:semiHidden/>
    <w:unhideWhenUsed/>
    <w:qFormat/>
    <w:uiPriority w:val="99"/>
    <w:rPr>
      <w:rFonts w:ascii="Consolas" w:hAnsi="Consolas" w:eastAsia="Consolas" w:cs="Consolas"/>
      <w:sz w:val="18"/>
      <w:szCs w:val="18"/>
    </w:rPr>
  </w:style>
  <w:style w:type="character" w:styleId="14">
    <w:name w:val="annotation reference"/>
    <w:basedOn w:val="9"/>
    <w:unhideWhenUsed/>
    <w:qFormat/>
    <w:uiPriority w:val="0"/>
    <w:rPr>
      <w:sz w:val="21"/>
      <w:szCs w:val="21"/>
    </w:rPr>
  </w:style>
  <w:style w:type="paragraph" w:styleId="15">
    <w:name w:val="List Paragraph"/>
    <w:basedOn w:val="1"/>
    <w:qFormat/>
    <w:uiPriority w:val="34"/>
    <w:pPr>
      <w:ind w:firstLine="420" w:firstLineChars="200"/>
    </w:pPr>
  </w:style>
  <w:style w:type="paragraph" w:customStyle="1" w:styleId="16">
    <w:name w:val="修订1"/>
    <w:semiHidden/>
    <w:qFormat/>
    <w:uiPriority w:val="99"/>
    <w:rPr>
      <w:rFonts w:ascii="Calibri" w:hAnsi="Calibri" w:eastAsia="宋体" w:cs="Times New Roman"/>
      <w:kern w:val="2"/>
      <w:sz w:val="21"/>
      <w:szCs w:val="24"/>
      <w:lang w:val="en-US" w:eastAsia="zh-CN" w:bidi="ar-SA"/>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character" w:customStyle="1" w:styleId="19">
    <w:name w:val="批注文字 Char"/>
    <w:basedOn w:val="9"/>
    <w:link w:val="2"/>
    <w:semiHidden/>
    <w:qFormat/>
    <w:uiPriority w:val="99"/>
    <w:rPr>
      <w:rFonts w:ascii="Calibri" w:hAnsi="Calibri"/>
      <w:kern w:val="2"/>
      <w:sz w:val="21"/>
      <w:szCs w:val="24"/>
    </w:rPr>
  </w:style>
  <w:style w:type="character" w:customStyle="1" w:styleId="20">
    <w:name w:val="18"/>
    <w:unhideWhenUsed/>
    <w:qFormat/>
    <w:uiPriority w:val="0"/>
    <w:rPr>
      <w:color w:val="000000"/>
      <w:sz w:val="18"/>
    </w:rPr>
  </w:style>
  <w:style w:type="character" w:customStyle="1" w:styleId="21">
    <w:name w:val="批注框文本 Char"/>
    <w:basedOn w:val="9"/>
    <w:link w:val="3"/>
    <w:semiHidden/>
    <w:qFormat/>
    <w:uiPriority w:val="99"/>
    <w:rPr>
      <w:rFonts w:ascii="Calibri" w:hAnsi="Calibri"/>
      <w:kern w:val="2"/>
      <w:sz w:val="18"/>
      <w:szCs w:val="18"/>
    </w:rPr>
  </w:style>
  <w:style w:type="character" w:customStyle="1" w:styleId="22">
    <w:name w:val="fontstyle01"/>
    <w:basedOn w:val="9"/>
    <w:qFormat/>
    <w:uiPriority w:val="0"/>
    <w:rPr>
      <w:rFonts w:hint="eastAsia" w:ascii="宋体" w:hAnsi="宋体" w:eastAsia="宋体"/>
      <w:color w:val="000000"/>
      <w:sz w:val="22"/>
      <w:szCs w:val="22"/>
    </w:rPr>
  </w:style>
  <w:style w:type="character" w:customStyle="1" w:styleId="23">
    <w:name w:val="批注主题 Char"/>
    <w:basedOn w:val="19"/>
    <w:link w:val="7"/>
    <w:semiHidden/>
    <w:qFormat/>
    <w:uiPriority w:val="99"/>
    <w:rPr>
      <w:rFonts w:ascii="Calibri" w:hAnsi="Calibri"/>
      <w:b/>
      <w:bCs/>
      <w:kern w:val="2"/>
      <w:sz w:val="21"/>
      <w:szCs w:val="24"/>
    </w:rPr>
  </w:style>
  <w:style w:type="character" w:customStyle="1" w:styleId="24">
    <w:name w:val="fontstyle21"/>
    <w:basedOn w:val="9"/>
    <w:qFormat/>
    <w:uiPriority w:val="0"/>
    <w:rPr>
      <w:rFonts w:hint="default" w:ascii="TimesNewRomanPSMT" w:hAnsi="TimesNewRomanPSMT"/>
      <w:color w:val="000000"/>
      <w:sz w:val="22"/>
      <w:szCs w:val="22"/>
    </w:rPr>
  </w:style>
  <w:style w:type="paragraph" w:customStyle="1" w:styleId="25">
    <w:name w:val="修订2"/>
    <w:hidden/>
    <w:semiHidden/>
    <w:qFormat/>
    <w:uiPriority w:val="99"/>
    <w:rPr>
      <w:rFonts w:ascii="Calibri" w:hAnsi="Calibri" w:eastAsia="宋体" w:cs="Times New Roman"/>
      <w:kern w:val="2"/>
      <w:sz w:val="21"/>
      <w:szCs w:val="24"/>
      <w:lang w:val="en-US" w:eastAsia="zh-CN" w:bidi="ar-SA"/>
    </w:rPr>
  </w:style>
  <w:style w:type="paragraph" w:customStyle="1" w:styleId="26">
    <w:name w:val="Revision"/>
    <w:hidden/>
    <w:semiHidden/>
    <w:qFormat/>
    <w:uiPriority w:val="99"/>
    <w:rPr>
      <w:rFonts w:ascii="Calibri" w:hAnsi="Calibri" w:eastAsia="宋体" w:cs="Times New Roman"/>
      <w:kern w:val="2"/>
      <w:sz w:val="21"/>
      <w:szCs w:val="24"/>
      <w:lang w:val="en-US" w:eastAsia="zh-CN" w:bidi="ar-SA"/>
    </w:rPr>
  </w:style>
  <w:style w:type="character" w:customStyle="1" w:styleId="27">
    <w:name w:val="img_bg_cov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500</Words>
  <Characters>2855</Characters>
  <Lines>23</Lines>
  <Paragraphs>6</Paragraphs>
  <TotalTime>32</TotalTime>
  <ScaleCrop>false</ScaleCrop>
  <LinksUpToDate>false</LinksUpToDate>
  <CharactersWithSpaces>3349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2019-10-31T09:45:00Z</dcterms:created>
  <dc:creator>dell</dc:creator>
  <cp:lastModifiedBy>高新兴证券部</cp:lastModifiedBy>
  <cp:lastPrinted>2020-03-05T12:15:49Z</cp:lastPrinted>
  <dcterms:modified xsi:type="dcterms:W3CDTF">2020-03-05T12:46:42Z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