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400" w:lineRule="exact"/>
        <w:rPr>
          <w:rFonts w:ascii="Arial" w:hAnsi="Arial" w:cs="Arial" w:eastAsiaTheme="minorEastAsia"/>
          <w:bCs/>
          <w:iCs/>
          <w:color w:val="000000"/>
          <w:sz w:val="24"/>
        </w:rPr>
      </w:pPr>
      <w:r>
        <w:rPr>
          <w:rFonts w:ascii="Arial" w:hAnsi="Arial" w:cs="Arial" w:eastAsiaTheme="minorEastAsia"/>
          <w:bCs/>
          <w:iCs/>
          <w:color w:val="000000"/>
          <w:sz w:val="24"/>
        </w:rPr>
        <w:t>证券代码：300271                                   证券简称：华宇软件</w:t>
      </w:r>
    </w:p>
    <w:p>
      <w:pPr>
        <w:spacing w:before="156" w:beforeLines="50" w:after="156" w:afterLines="50" w:line="400" w:lineRule="exact"/>
        <w:rPr>
          <w:rFonts w:ascii="Arial" w:hAnsi="Arial" w:cs="Arial" w:eastAsiaTheme="minorEastAsia"/>
          <w:bCs/>
          <w:iCs/>
          <w:color w:val="000000"/>
          <w:sz w:val="24"/>
        </w:rPr>
      </w:pPr>
    </w:p>
    <w:p>
      <w:pPr>
        <w:spacing w:before="156" w:beforeLines="50" w:after="156" w:afterLines="50" w:line="400" w:lineRule="exact"/>
        <w:jc w:val="center"/>
        <w:rPr>
          <w:rFonts w:ascii="Arial" w:hAnsi="Arial" w:cs="Arial" w:eastAsiaTheme="minorEastAsia"/>
          <w:b/>
          <w:bCs/>
          <w:iCs/>
          <w:color w:val="000000"/>
          <w:sz w:val="32"/>
          <w:szCs w:val="32"/>
        </w:rPr>
      </w:pPr>
      <w:r>
        <w:rPr>
          <w:rFonts w:ascii="Arial" w:hAnsi="Arial" w:cs="Arial" w:eastAsiaTheme="minorEastAsia"/>
          <w:b/>
          <w:bCs/>
          <w:iCs/>
          <w:color w:val="000000"/>
          <w:sz w:val="32"/>
          <w:szCs w:val="32"/>
        </w:rPr>
        <w:t>北京华宇软件股份有限公司投资者关系活动记录表</w:t>
      </w:r>
    </w:p>
    <w:p>
      <w:pPr>
        <w:spacing w:line="400" w:lineRule="exact"/>
        <w:rPr>
          <w:rFonts w:hint="default" w:ascii="Arial" w:hAnsi="Arial" w:cs="Arial" w:eastAsiaTheme="minorEastAsia"/>
          <w:bCs/>
          <w:iCs/>
          <w:color w:val="000000"/>
          <w:sz w:val="24"/>
          <w:lang w:val="en-US" w:eastAsia="zh-CN"/>
        </w:rPr>
      </w:pPr>
      <w:r>
        <w:rPr>
          <w:rFonts w:ascii="Arial" w:hAnsi="Arial" w:cs="Arial" w:eastAsiaTheme="minorEastAsia"/>
          <w:bCs/>
          <w:iCs/>
          <w:color w:val="000000"/>
          <w:sz w:val="24"/>
        </w:rPr>
        <w:t xml:space="preserve">                                                     编号：20</w:t>
      </w:r>
      <w:r>
        <w:rPr>
          <w:rFonts w:hint="eastAsia" w:ascii="Arial" w:hAnsi="Arial" w:cs="Arial" w:eastAsiaTheme="minorEastAsia"/>
          <w:bCs/>
          <w:iCs/>
          <w:color w:val="000000"/>
          <w:sz w:val="24"/>
          <w:lang w:val="en-US" w:eastAsia="zh-CN"/>
        </w:rPr>
        <w:t>20</w:t>
      </w:r>
      <w:r>
        <w:rPr>
          <w:rFonts w:ascii="Arial" w:hAnsi="Arial" w:cs="Arial" w:eastAsiaTheme="minorEastAsia"/>
          <w:bCs/>
          <w:iCs/>
          <w:color w:val="000000"/>
          <w:sz w:val="24"/>
        </w:rPr>
        <w:t>-0</w:t>
      </w:r>
      <w:r>
        <w:rPr>
          <w:rFonts w:hint="eastAsia" w:ascii="Arial" w:hAnsi="Arial" w:cs="Arial" w:eastAsiaTheme="minorEastAsia"/>
          <w:bCs/>
          <w:iCs/>
          <w:color w:val="000000"/>
          <w:sz w:val="24"/>
          <w:lang w:val="en-US" w:eastAsia="zh-CN"/>
        </w:rPr>
        <w:t>01</w:t>
      </w:r>
    </w:p>
    <w:tbl>
      <w:tblPr>
        <w:tblStyle w:val="11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6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投资者关系活动类别</w:t>
            </w:r>
          </w:p>
        </w:tc>
        <w:tc>
          <w:tcPr>
            <w:tcW w:w="6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hint="eastAsia" w:ascii="Arial" w:hAnsi="Arial" w:cs="Arial" w:eastAsiaTheme="minorEastAsia"/>
                <w:bCs/>
                <w:iCs/>
                <w:sz w:val="24"/>
                <w:lang w:val="en-US" w:eastAsia="zh-CN"/>
              </w:rPr>
              <w:t>线上</w:t>
            </w:r>
            <w:r>
              <w:rPr>
                <w:rFonts w:ascii="Arial" w:hAnsi="Arial" w:cs="Arial" w:eastAsiaTheme="minorEastAsia"/>
                <w:bCs/>
                <w:iCs/>
                <w:sz w:val="24"/>
              </w:rPr>
              <w:t>调研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参与单位名称及人员姓名</w:t>
            </w:r>
          </w:p>
        </w:tc>
        <w:tc>
          <w:tcPr>
            <w:tcW w:w="6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BosValen Asset Management Limited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John Lau 刘默涵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BridgeRiver Capital Management Limited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Can li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CHINA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RE ASSET MANEGEMENT(HONG KONG) COMPANY LIMITED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Zheng Tao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LyGH资本管理公司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陆晔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PV capital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STACEY CHEH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ROBECO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陳子博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UBS Securities Co. Limited Shanghai Branch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wendy zhang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安信证券股份有限公司研究所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徐文杰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安信资产管理（香港）有限公司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童梦石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霸菱资产管理有限公司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王平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北京·智融科控股股份有限公司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鄢晓华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北京成泉资本管理有限公司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陈剑博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北京诚盛投资管理有限公司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康志毅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北京沣沛投资管理有限公司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许冠球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北京复华资产管理有限公司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龙姝娴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北京和聚投资管理有限公司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衡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畅、李泽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北京鸿道投资管理有限责任公司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方云龙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北京凯思博投资管理有限公司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金俊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北京嘉惠盈投资管理中心(有限合伙)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吴金雅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北京启明合心科技有限公司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苏振权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北京鑫乐达投资管理有限公司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侯继雄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北京易联视讯科技有限公司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李明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北京影研创新科技发展有限公司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王荣刚、王坤、曹海洋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北京泽铭投资有限公司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安晓东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北京掌趣科技股份有限公司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王娉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博时基金管理有限公司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唐天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渤海创富证券投资有限公司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王洪磊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大华继显投资咨询（上海）有限公司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周捷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淡水泉(北京)投资管理有限公司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任宇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德邦证券股份有限公司研究所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雷涛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第一创业证券股份有限公司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李超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东北证券股份有限公司上海证券研究咨询分公司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邵珠印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东莞市泰拉锋电子科技有限公司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贺凯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东吴证券股份有限公司研究所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王紫敬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东亚前海证券有限责任公司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杨柳青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富国基金管理有限公司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林庆、尚鹏岳、毕天宇、何激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富利达资产管理(珠海)有限公司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樊继浩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富舜资产管理（上海）有限公司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李思玮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富途网络科技（深圳）有限公司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唐可欣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高知特信息技术(大连)有限公司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王丽莉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光大证券股份有限公司研究所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万义麟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广发证券资产管理(广东)有限公司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童炯潇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国海证券股份有限公司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刘航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国盛证券有限责任公司研究所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赖鹏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国泰君安证券股份有限公司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张广庆、肖莹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国泰君安证券股份有限公司研究所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齐佳宏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海通国际资本有限公司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赵志威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海通证券股份有限公司研究所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洪琳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恒越基金管理有限公司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杨晓洋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湖南三湘银行股份有限公司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罗帆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华创证券有限责任公司研究所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刘逍遥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华商基金管理有限公司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童立、金曦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华泰柏瑞基金管理有限公司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曾懿之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华泰瑞联基金管理有限公司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李南泠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华夏未来资本管理有限公司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褚天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汇丰晋信基金管理有限公司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陆迪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汇添富基金管理股份有限公司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夏正安</w:t>
            </w:r>
          </w:p>
          <w:p>
            <w:pPr>
              <w:spacing w:line="480" w:lineRule="atLeast"/>
              <w:ind w:left="3120" w:hanging="3120" w:hangingChars="1300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嘉实基金管理有限公司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张淼、刘美玲、何鸣晓、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>赵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宇</w:t>
            </w:r>
            <w:r>
              <w:rPr>
                <w:rFonts w:hint="eastAsia" w:ascii="Arial" w:hAnsi="Arial" w:cs="Arial"/>
                <w:kern w:val="0"/>
                <w:sz w:val="24"/>
                <w:lang w:eastAsia="zh-CN" w:bidi="ar"/>
              </w:rPr>
              <w:t>、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谢鹏宇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君恒基金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陆伟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江苏汇鸿国际集团资产管理有限公司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夏淑兰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交银施罗德基金管理有限公司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范煜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九泰基金管理有限公司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方向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凯峰资本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俞慧玲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立格资本管理有限公司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王思坦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立信会计师事务所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葛晨煜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麦格理银行有限公司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Ｇ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>loria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Ｙu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麦格理资本证券股份有限公司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刘馨竹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美林（亚太）有限公司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朱劲吉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摩根士丹利亚洲有限公司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>刘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洋、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>张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嘉行、徐佩玖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宁波善为资产管理合伙企业（有限合伙）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马蘅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挪威中央银行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龙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力翔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诺德基金管理有限公司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朱红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鹏华基金管理有限公司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董威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平安基金管理有限公司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李辻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平安银行股份有限公司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闫磊、冯棣明、罗雯雯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平安证券股份有限公司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李峰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平安证券股份有限公司研究所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陈苏、解睿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前海开源基金管理有限公司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梁策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瑞华林投资管理有限公司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张海锋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润晖投资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方芳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厦门汇熙资产管理有限公司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谢佳鑫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山西证券股份有限公司研究所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李欣谢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上海奔酷网络科技有限公司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李沪生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上海东方证券资产管理有限公司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胡伟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上海富汇财富投资管理有限公司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黄月珍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上海国泰君安证券资产管理有限公司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陈思靖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上海金码创业投资管理合伙企业（有限合伙）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谢艳萍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上海锦臻资产管理有限公司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胡蕾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上海景林资产管理有限公司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李署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上海盘京投资管理中心(有限合伙)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王震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上海秋阳予梁投资管理有限公司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郑捷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上海申银万国证券研究所有限公司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洪依真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上海途灵资产管理有限公司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符涓涓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上海亿翰商务咨询股份有限公司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李艳杰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上海弈慧投资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黄健、邵雯琼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上海攸道投资管理中心（有限合伙）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王亮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上海证券有限责任公司温州分公司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刘香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上海中最投资管理有限公司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刚卫文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上海重阳投资管理股份有限公司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王晓华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深圳百毅资本管理有限公司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闫小龙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深圳慧利资产管理有限公司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刘树祥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深圳前海无锋基金管理有限公司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陈诤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深圳市百业资本管理有限公司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吴芬岚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深圳市凯丰投资管理有限公司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田明华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深圳市尚诚资产管理有限责任公司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黄向前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深圳市壹达资产管理有限公司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李雨昕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泰达宏利基金管理有限公司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胡涛、孟洁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泰康资产管理有限责任公司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林崇平、倪辰晖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天达资产管理香港有限公司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Amy Leung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天津易鑫安资产管理有限公司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王锵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同系(北京)资本管理有限公司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苏殿龙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文渊资本管理有限公司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刘徐、向海韬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西部证券股份有限公司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王宗凯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西部证券股份有限公司研究所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刘浩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西南证券股份有限公司研究所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刘忠腾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霄沣投资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尹霄羽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新时代证券股份有限公司研究所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李汉卿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信诚人寿保险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林柏川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兴全基金管理有限公司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王坚、陆士杰、廖辰轩、薛莉丽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银城国际控股有限公司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Katty CHEUNG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银华基金管理股份有限公司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王翔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英大保险资产管理有限公司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王京乐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映枫资产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侯永明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永赢基金管理有限公司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任桀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由榕资产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欧可升</w:t>
            </w:r>
          </w:p>
          <w:p>
            <w:pPr>
              <w:spacing w:line="480" w:lineRule="atLeast"/>
              <w:ind w:left="3360" w:hanging="3360" w:hangingChars="1400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长城证券股份有限公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封谊敏、李雪薇、郭雅丽</w:t>
            </w:r>
            <w:r>
              <w:rPr>
                <w:rFonts w:hint="eastAsia" w:ascii="Arial" w:hAnsi="Arial" w:cs="Arial"/>
                <w:kern w:val="0"/>
                <w:sz w:val="24"/>
                <w:lang w:eastAsia="zh-CN" w:bidi="ar"/>
              </w:rPr>
              <w:t>、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余庚宗</w:t>
            </w:r>
            <w:r>
              <w:rPr>
                <w:rFonts w:hint="eastAsia" w:ascii="Arial" w:hAnsi="Arial" w:cs="Arial"/>
                <w:kern w:val="0"/>
                <w:sz w:val="24"/>
                <w:lang w:eastAsia="zh-CN" w:bidi="ar"/>
              </w:rPr>
              <w:t>、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胡世煜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浙江浙商证券资产管理有限公司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徐岩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征金资本控股有限公司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蔡硕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中国工商银行股份有限公司</w:t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吴为超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中国国际金融股份有限公司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冯达、黄丙延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中国国际金融股份有限公司研究所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于钟海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中国平安人寿保险股份有限公司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黄秀芬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中国人保资产管理股份有限公司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于嘉馨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中国人民养老保险有限责任公司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李金阳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中国人寿养老保险股份有限公司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李虒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中国人寿资产管理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刘君伟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中信产业投资基金管理有限公司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翁林开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中信里昂证券有限公司研究所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Marley Ngan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中信证券股份有限公司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刘琨、李品科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中信证券股份有限公司研究所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刘雯蜀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中银国际证券股份有限公司研究所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杨思睿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中银基金管理有限公司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王嘉琦、张响东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中邮创业基金管理股份有限公司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雷蒙</w:t>
            </w:r>
          </w:p>
          <w:p>
            <w:pPr>
              <w:spacing w:line="480" w:lineRule="atLeast"/>
              <w:rPr>
                <w:rFonts w:hint="eastAsia" w:ascii="Arial" w:hAnsi="Arial" w:cs="Arial"/>
                <w:kern w:val="0"/>
                <w:sz w:val="24"/>
                <w:lang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重庆诺鼎资产管理有限公司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ab/>
            </w: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 xml:space="preserve">    </w:t>
            </w:r>
            <w:r>
              <w:rPr>
                <w:rFonts w:hint="eastAsia" w:ascii="Arial" w:hAnsi="Arial" w:cs="Arial"/>
                <w:kern w:val="0"/>
                <w:sz w:val="24"/>
                <w:lang w:bidi="ar"/>
              </w:rPr>
              <w:t>曾宪钊</w:t>
            </w:r>
          </w:p>
          <w:p>
            <w:pPr>
              <w:spacing w:line="480" w:lineRule="atLeast"/>
              <w:rPr>
                <w:rFonts w:hint="default" w:ascii="Arial" w:hAnsi="Arial" w:eastAsia="宋体" w:cs="Arial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Arial" w:hAnsi="Arial" w:cs="Arial"/>
                <w:kern w:val="0"/>
                <w:sz w:val="24"/>
                <w:lang w:val="en-US" w:eastAsia="zh-CN" w:bidi="ar"/>
              </w:rPr>
              <w:t>等180余人参会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时间</w:t>
            </w:r>
          </w:p>
        </w:tc>
        <w:tc>
          <w:tcPr>
            <w:tcW w:w="6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tabs>
                <w:tab w:val="left" w:pos="2260"/>
              </w:tabs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20</w:t>
            </w:r>
            <w:r>
              <w:rPr>
                <w:rFonts w:hint="eastAsia" w:ascii="Arial" w:hAnsi="Arial" w:cs="Arial" w:eastAsiaTheme="minorEastAsia"/>
                <w:bCs/>
                <w:iCs/>
                <w:sz w:val="24"/>
                <w:lang w:val="en-US" w:eastAsia="zh-CN"/>
              </w:rPr>
              <w:t>20</w:t>
            </w:r>
            <w:r>
              <w:rPr>
                <w:rFonts w:ascii="Arial" w:hAnsi="Arial" w:cs="Arial" w:eastAsiaTheme="minorEastAsia"/>
                <w:bCs/>
                <w:iCs/>
                <w:sz w:val="24"/>
              </w:rPr>
              <w:t>年</w:t>
            </w:r>
            <w:r>
              <w:rPr>
                <w:rFonts w:hint="eastAsia" w:ascii="Arial" w:hAnsi="Arial" w:cs="Arial" w:eastAsiaTheme="minorEastAsia"/>
                <w:bCs/>
                <w:iCs/>
                <w:sz w:val="24"/>
                <w:lang w:val="en-US" w:eastAsia="zh-CN"/>
              </w:rPr>
              <w:t>3</w:t>
            </w:r>
            <w:r>
              <w:rPr>
                <w:rFonts w:ascii="Arial" w:hAnsi="Arial" w:cs="Arial" w:eastAsiaTheme="minorEastAsia"/>
                <w:bCs/>
                <w:iCs/>
                <w:sz w:val="24"/>
              </w:rPr>
              <w:t>月</w:t>
            </w:r>
            <w:r>
              <w:rPr>
                <w:rFonts w:hint="eastAsia" w:ascii="Arial" w:hAnsi="Arial" w:cs="Arial" w:eastAsiaTheme="minorEastAsia"/>
                <w:bCs/>
                <w:iCs/>
                <w:sz w:val="24"/>
                <w:lang w:val="en-US" w:eastAsia="zh-CN"/>
              </w:rPr>
              <w:t>19</w:t>
            </w:r>
            <w:r>
              <w:rPr>
                <w:rFonts w:hint="eastAsia" w:ascii="Arial" w:hAnsi="Arial" w:cs="Arial" w:eastAsiaTheme="minorEastAsia"/>
                <w:bCs/>
                <w:iCs/>
                <w:sz w:val="24"/>
              </w:rPr>
              <w:t>日</w:t>
            </w:r>
            <w:r>
              <w:rPr>
                <w:rFonts w:ascii="Arial" w:hAnsi="Arial" w:cs="Arial" w:eastAsiaTheme="minorEastAsia"/>
                <w:bCs/>
                <w:iCs/>
                <w:sz w:val="24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地点</w:t>
            </w:r>
          </w:p>
        </w:tc>
        <w:tc>
          <w:tcPr>
            <w:tcW w:w="6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hint="default" w:ascii="Arial" w:hAnsi="Arial" w:cs="Arial" w:eastAsiaTheme="minorEastAsia"/>
                <w:bCs/>
                <w:iCs/>
                <w:color w:val="000000"/>
                <w:sz w:val="24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北京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  <w:lang w:val="en-US" w:eastAsia="zh-CN"/>
              </w:rPr>
              <w:t>市海淀区中关村东路一号院清华科技大厦C座25层一会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上市公司接待人员姓名</w:t>
            </w:r>
          </w:p>
        </w:tc>
        <w:tc>
          <w:tcPr>
            <w:tcW w:w="6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</w:pP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华宇软件董事长、总经理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  <w:lang w:eastAsia="zh-CN"/>
              </w:rPr>
              <w:t>：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邵学</w:t>
            </w:r>
          </w:p>
          <w:p>
            <w:pPr>
              <w:spacing w:line="480" w:lineRule="atLeast"/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</w:pP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华宇软件董事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  <w:lang w:val="en-US" w:eastAsia="zh-CN"/>
              </w:rPr>
              <w:t>、首席财务官：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王琰</w:t>
            </w:r>
          </w:p>
          <w:p>
            <w:pPr>
              <w:spacing w:line="480" w:lineRule="atLeast"/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</w:pP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华宇软件董事、副总经理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  <w:lang w:eastAsia="zh-CN"/>
              </w:rPr>
              <w:t>：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赵晓明</w:t>
            </w:r>
          </w:p>
          <w:p>
            <w:pPr>
              <w:spacing w:line="480" w:lineRule="atLeast"/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</w:pP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华宇信息董事、总经理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  <w:lang w:eastAsia="zh-CN"/>
              </w:rPr>
              <w:t>：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黄福林</w:t>
            </w:r>
          </w:p>
          <w:p>
            <w:pPr>
              <w:spacing w:line="480" w:lineRule="atLeast"/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</w:pP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联奕科技董事长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  <w:lang w:eastAsia="zh-CN"/>
              </w:rPr>
              <w:t>：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任刚</w:t>
            </w:r>
          </w:p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color w:val="000000"/>
                <w:sz w:val="24"/>
              </w:rPr>
            </w:pP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华宇软件董事会秘书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  <w:lang w:eastAsia="zh-CN"/>
              </w:rPr>
              <w:t>：</w:t>
            </w:r>
            <w:r>
              <w:rPr>
                <w:rFonts w:hint="eastAsia" w:ascii="Arial" w:hAnsi="Arial" w:cs="Arial" w:eastAsiaTheme="minorEastAsia"/>
                <w:bCs/>
                <w:iCs/>
                <w:color w:val="000000"/>
                <w:sz w:val="24"/>
              </w:rPr>
              <w:t>韦光宇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投资者关系活动主要内容介绍</w:t>
            </w:r>
          </w:p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</w:p>
        </w:tc>
        <w:tc>
          <w:tcPr>
            <w:tcW w:w="6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sz w:val="24"/>
              </w:rPr>
            </w:pPr>
          </w:p>
          <w:p>
            <w:pPr>
              <w:spacing w:line="360" w:lineRule="auto"/>
              <w:ind w:firstLine="482" w:firstLineChars="20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一</w:t>
            </w:r>
            <w:r>
              <w:rPr>
                <w:rFonts w:hint="eastAsia"/>
                <w:b/>
                <w:sz w:val="24"/>
              </w:rPr>
              <w:t>、</w:t>
            </w:r>
            <w:r>
              <w:rPr>
                <w:b/>
                <w:sz w:val="24"/>
              </w:rPr>
              <w:t>公司</w:t>
            </w:r>
            <w:r>
              <w:rPr>
                <w:rFonts w:hint="eastAsia"/>
                <w:b/>
                <w:sz w:val="24"/>
                <w:lang w:val="en-US" w:eastAsia="zh-CN"/>
              </w:rPr>
              <w:t>2019年度</w:t>
            </w:r>
            <w:r>
              <w:rPr>
                <w:b/>
                <w:sz w:val="24"/>
              </w:rPr>
              <w:t>经营情况的介绍</w:t>
            </w:r>
            <w:r>
              <w:rPr>
                <w:rFonts w:hint="eastAsia"/>
                <w:b/>
                <w:sz w:val="24"/>
              </w:rPr>
              <w:t>。</w:t>
            </w:r>
          </w:p>
          <w:p/>
          <w:p>
            <w:r>
              <w:drawing>
                <wp:inline distT="0" distB="0" distL="0" distR="0">
                  <wp:extent cx="4063365" cy="3043555"/>
                  <wp:effectExtent l="0" t="0" r="635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365" cy="304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widowControl/>
              <w:spacing w:line="276" w:lineRule="auto"/>
              <w:ind w:firstLine="480" w:firstLineChars="200"/>
            </w:pPr>
            <w:r>
              <w:rPr>
                <w:rFonts w:hint="eastAsia" w:asciiTheme="minorEastAsia" w:hAnsiTheme="minorEastAsia"/>
              </w:rPr>
              <w:t>作为致力于</w:t>
            </w:r>
            <w:r>
              <w:rPr>
                <w:rFonts w:asciiTheme="minorEastAsia" w:hAnsiTheme="minorEastAsia"/>
              </w:rPr>
              <w:t>“</w:t>
            </w:r>
            <w:r>
              <w:rPr>
                <w:rFonts w:hint="eastAsia" w:asciiTheme="minorEastAsia" w:hAnsiTheme="minorEastAsia"/>
              </w:rPr>
              <w:t>帮助客户更好地服务社会</w:t>
            </w:r>
            <w:r>
              <w:rPr>
                <w:rFonts w:asciiTheme="minorEastAsia" w:hAnsiTheme="minorEastAsia"/>
              </w:rPr>
              <w:t>”</w:t>
            </w:r>
            <w:r>
              <w:rPr>
                <w:rFonts w:hint="eastAsia" w:asciiTheme="minorEastAsia" w:hAnsiTheme="minorEastAsia"/>
              </w:rPr>
              <w:t>的软件服务企业，公司是国内法律科技市场的领导企业，并在教育信息化、智慧政务等重要的软件服务市场占据了优势地位，也是领域内诸多重要技术应用的创新者和积极推动者。凭借深刻的业务洞察和持续的行业应用创新，公司在法律科技、教育信息化等传统优势领域，进一步提升竞争优势，业务稳健增长。</w:t>
            </w:r>
          </w:p>
          <w:p>
            <w:r>
              <w:drawing>
                <wp:inline distT="0" distB="0" distL="0" distR="0">
                  <wp:extent cx="4051300" cy="3032760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0" cy="30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 w:type="page"/>
            </w:r>
          </w:p>
          <w:p>
            <w:pPr>
              <w:ind w:firstLine="480" w:firstLineChars="200"/>
              <w:rPr>
                <w:rFonts w:hint="eastAsia" w:eastAsia="宋体" w:cs="Times New Roman" w:asciiTheme="minorEastAsia" w:hAnsi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 w:asciiTheme="minorEastAsia" w:hAnsiTheme="minorEastAsia"/>
                <w:kern w:val="2"/>
                <w:sz w:val="24"/>
                <w:szCs w:val="24"/>
                <w:lang w:val="en-US" w:eastAsia="zh-CN" w:bidi="ar-SA"/>
              </w:rPr>
              <w:t>公司核心业务定位一直是电子政务，包括一府、两院、人大、政协、党委系统及军队。过去我们在法律科技领域做的比较好，其他领域业务占比小，所以没有单独统计。现在法律科技外的其他智慧政务业务已经上升到可观量级，未来将成为公司的重要的增长点，所以单独统计。</w:t>
            </w:r>
          </w:p>
          <w:p>
            <w:r>
              <w:drawing>
                <wp:inline distT="0" distB="0" distL="0" distR="0">
                  <wp:extent cx="4058285" cy="3046095"/>
                  <wp:effectExtent l="0" t="0" r="571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304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4060825" cy="3050540"/>
                  <wp:effectExtent l="0" t="0" r="3175" b="1016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05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 w:type="page"/>
            </w:r>
          </w:p>
          <w:p>
            <w:pPr>
              <w:widowControl/>
              <w:ind w:firstLine="482" w:firstLineChars="20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393939"/>
                <w:kern w:val="0"/>
                <w:sz w:val="24"/>
                <w:szCs w:val="24"/>
              </w:rPr>
              <w:t>新签合同小幅下降14%</w:t>
            </w:r>
            <w:r>
              <w:rPr>
                <w:rFonts w:hint="eastAsia" w:asciiTheme="minorEastAsia" w:hAnsiTheme="minorEastAsia" w:eastAsiaTheme="minorEastAsia" w:cstheme="minorEastAsia"/>
                <w:color w:val="393939"/>
                <w:kern w:val="0"/>
                <w:sz w:val="24"/>
                <w:szCs w:val="24"/>
              </w:rPr>
              <w:t>，核心原因来源于系统建设类合同大幅下降。应用软件、运维服务继续保持稳健增长，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393939"/>
                <w:kern w:val="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393939"/>
                <w:kern w:val="0"/>
                <w:sz w:val="24"/>
                <w:szCs w:val="24"/>
              </w:rPr>
              <w:t>17年至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393939"/>
                <w:kern w:val="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393939"/>
                <w:kern w:val="0"/>
                <w:sz w:val="24"/>
                <w:szCs w:val="24"/>
              </w:rPr>
              <w:t>19年，应用软件年复合增速23%，运维服务复合增速33%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393939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ind w:firstLine="480" w:firstLineChars="20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虽然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19年合同订单总额下降，但作为公司利润的主要来源，软件和运维合同都是上升的，因此利润还是有良好的保障。</w:t>
            </w:r>
          </w:p>
          <w:p>
            <w:r>
              <w:drawing>
                <wp:inline distT="0" distB="0" distL="0" distR="0">
                  <wp:extent cx="4055110" cy="3037205"/>
                  <wp:effectExtent l="0" t="0" r="8890" b="1079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110" cy="303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0" distR="0">
                  <wp:extent cx="4033520" cy="3037840"/>
                  <wp:effectExtent l="0" t="0" r="5080" b="1016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520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ind w:firstLine="480" w:firstLineChars="200"/>
              <w:jc w:val="left"/>
              <w:rPr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公司积极投入，持续探索技术创新，将各行业的共性业务沉淀，通过业务与技术的融合，实现数据、技术和业务功能的复用，重点打造了基于微服务架构体系的、全面支持信创技术体系的智慧中台。基于“中台”架构，公司可以根据行业特点快速扩展创新应用，提升技术复用效率，加速产品服务响应，提升客户满意度</w:t>
            </w:r>
            <w:r>
              <w:rPr>
                <w:rFonts w:hint="eastAsia" w:ascii="宋体" w:hAnsi="宋体" w:eastAsia="宋体" w:cs="Calibri"/>
                <w:color w:val="393939"/>
                <w:kern w:val="0"/>
                <w:sz w:val="24"/>
                <w:szCs w:val="24"/>
              </w:rPr>
              <w:t>提升公司在各个领域的竞争力。</w:t>
            </w:r>
          </w:p>
          <w:p>
            <w:r>
              <w:drawing>
                <wp:inline distT="0" distB="0" distL="0" distR="0">
                  <wp:extent cx="4053840" cy="3051810"/>
                  <wp:effectExtent l="0" t="0" r="10160" b="889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305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widowControl/>
              <w:spacing w:line="276" w:lineRule="auto"/>
              <w:ind w:firstLine="480" w:firstLineChars="200"/>
              <w:rPr>
                <w:rFonts w:hint="eastAsia"/>
              </w:rPr>
            </w:pPr>
            <w:r>
              <w:rPr>
                <w:rFonts w:hint="eastAsia" w:asciiTheme="minorEastAsia" w:hAnsiTheme="minorEastAsia"/>
              </w:rPr>
              <w:t>作为致力于</w:t>
            </w:r>
            <w:r>
              <w:rPr>
                <w:rFonts w:asciiTheme="minorEastAsia" w:hAnsiTheme="minorEastAsia"/>
              </w:rPr>
              <w:t>“</w:t>
            </w:r>
            <w:r>
              <w:rPr>
                <w:rFonts w:hint="eastAsia" w:asciiTheme="minorEastAsia" w:hAnsiTheme="minorEastAsia"/>
              </w:rPr>
              <w:t>帮助客户更好地服务社会</w:t>
            </w:r>
            <w:r>
              <w:rPr>
                <w:rFonts w:asciiTheme="minorEastAsia" w:hAnsiTheme="minorEastAsia"/>
              </w:rPr>
              <w:t>”</w:t>
            </w:r>
            <w:r>
              <w:rPr>
                <w:rFonts w:hint="eastAsia" w:asciiTheme="minorEastAsia" w:hAnsiTheme="minorEastAsia"/>
              </w:rPr>
              <w:t>的软件服务企业，公司是国内法律科技市场的领导企业，并在教育信息化、智慧政务等重要的软件服务市场占据了优势地位。</w:t>
            </w:r>
            <w:r>
              <w:rPr>
                <w:rFonts w:asciiTheme="minorEastAsia" w:hAnsiTheme="minorEastAsia"/>
              </w:rPr>
              <w:t>公司凭借在信创领域积累多年的技术、产品与实施经验，在法律科技</w:t>
            </w:r>
            <w:r>
              <w:rPr>
                <w:rFonts w:hint="eastAsia" w:asciiTheme="minorEastAsia" w:hAnsiTheme="minorEastAsia"/>
              </w:rPr>
              <w:t>等传统优势</w:t>
            </w:r>
            <w:r>
              <w:rPr>
                <w:rFonts w:asciiTheme="minorEastAsia" w:hAnsiTheme="minorEastAsia"/>
              </w:rPr>
              <w:t>领域将更具竞争力，并将以此为契机，拓展新的电子政务细分领域，打开“智慧政务”业务的发展空间。</w:t>
            </w:r>
          </w:p>
          <w:p>
            <w:r>
              <w:drawing>
                <wp:inline distT="0" distB="0" distL="0" distR="0">
                  <wp:extent cx="4087495" cy="3087370"/>
                  <wp:effectExtent l="0" t="0" r="1905" b="1143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495" cy="30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widowControl/>
              <w:spacing w:line="276" w:lineRule="auto"/>
              <w:ind w:firstLine="480" w:firstLineChars="200"/>
              <w:rPr>
                <w:rFonts w:hint="eastAsia"/>
              </w:rPr>
            </w:pPr>
            <w:r>
              <w:rPr>
                <w:rFonts w:hint="eastAsia" w:asciiTheme="minorEastAsia" w:hAnsiTheme="minorEastAsia"/>
                <w:color w:val="000000"/>
              </w:rPr>
              <w:t>公司持续扩展和深化对法律相关机关单位、律师</w:t>
            </w:r>
            <w:r>
              <w:rPr>
                <w:rFonts w:asciiTheme="minorEastAsia" w:hAnsiTheme="minorEastAsia"/>
                <w:color w:val="000000"/>
              </w:rPr>
              <w:t>、</w:t>
            </w:r>
            <w:r>
              <w:rPr>
                <w:rFonts w:hint="eastAsia" w:asciiTheme="minorEastAsia" w:hAnsiTheme="minorEastAsia"/>
                <w:color w:val="000000"/>
              </w:rPr>
              <w:t>企业等的覆盖和连接，打通法律服务各环节的业务流转和数据交互。公司深耕“司法”环节（法院、检察院）和“执法”环节（公安、纪检监察、司法行政、政法委等）业务，并逐步延伸业务至“守法”环节，服务律师和企业客户。公司持续丰富法律科技网络并构建</w:t>
            </w:r>
            <w:r>
              <w:rPr>
                <w:rFonts w:asciiTheme="minorEastAsia" w:hAnsiTheme="minorEastAsia"/>
                <w:color w:val="000000"/>
              </w:rPr>
              <w:t>“一体化法律服务平台”，布局未来法律</w:t>
            </w:r>
            <w:r>
              <w:rPr>
                <w:rFonts w:hint="eastAsia" w:asciiTheme="minorEastAsia" w:hAnsiTheme="minorEastAsia"/>
                <w:color w:val="000000"/>
              </w:rPr>
              <w:t>科技</w:t>
            </w:r>
            <w:r>
              <w:rPr>
                <w:rFonts w:asciiTheme="minorEastAsia" w:hAnsiTheme="minorEastAsia"/>
                <w:color w:val="000000"/>
              </w:rPr>
              <w:t>生态，</w:t>
            </w:r>
            <w:r>
              <w:rPr>
                <w:rFonts w:hint="eastAsia" w:asciiTheme="minorEastAsia" w:hAnsiTheme="minorEastAsia"/>
                <w:color w:val="000000"/>
              </w:rPr>
              <w:t>努力推进新时代法律服务。</w:t>
            </w:r>
          </w:p>
          <w:p>
            <w:r>
              <w:drawing>
                <wp:inline distT="0" distB="0" distL="0" distR="0">
                  <wp:extent cx="4073525" cy="3047365"/>
                  <wp:effectExtent l="0" t="0" r="317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525" cy="304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 w:firstLineChars="200"/>
            </w:pPr>
            <w:r>
              <w:rPr>
                <w:rFonts w:hint="eastAsia" w:eastAsia="宋体" w:cs="Times New Roman" w:asciiTheme="minorEastAsia" w:hAnsiTheme="minorEastAsia"/>
                <w:color w:val="000000"/>
                <w:kern w:val="2"/>
                <w:sz w:val="24"/>
                <w:szCs w:val="24"/>
                <w:lang w:val="en-US" w:eastAsia="zh-CN" w:bidi="ar-SA"/>
              </w:rPr>
              <w:t>公司继续深耕“司法”环节（法院和检察院）的业务，坚持业务软件和解决方案创新，持续提升市场地位和竞争优势。</w:t>
            </w:r>
          </w:p>
          <w:p>
            <w:r>
              <w:drawing>
                <wp:inline distT="0" distB="0" distL="0" distR="0">
                  <wp:extent cx="3997960" cy="3000375"/>
                  <wp:effectExtent l="0" t="0" r="254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96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 w:firstLineChars="200"/>
              <w:rPr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公司立足“司法”环节业务既有的强竞争力和市场优势地位，重点围绕“两法衔接”持续深入拓展“执法”领域。</w:t>
            </w:r>
          </w:p>
          <w:p>
            <w:pPr>
              <w:rPr>
                <w:rFonts w:hint="eastAsia"/>
              </w:rPr>
            </w:pPr>
            <w:r>
              <w:drawing>
                <wp:inline distT="0" distB="0" distL="0" distR="0">
                  <wp:extent cx="4032885" cy="3021965"/>
                  <wp:effectExtent l="0" t="0" r="5715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885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 w:firstLineChars="200"/>
              <w:rPr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color w:val="000000"/>
                <w:sz w:val="24"/>
                <w:szCs w:val="24"/>
              </w:rPr>
              <w:t>公司在深耕“司法”和“执法”环节业务的同时，逐步延伸至“守法”环节。</w:t>
            </w:r>
          </w:p>
          <w:p>
            <w:r>
              <w:drawing>
                <wp:inline distT="0" distB="0" distL="0" distR="0">
                  <wp:extent cx="4070350" cy="3067050"/>
                  <wp:effectExtent l="0" t="0" r="6350" b="63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widowControl/>
              <w:spacing w:line="276" w:lineRule="auto"/>
              <w:ind w:firstLine="480" w:firstLineChars="200"/>
              <w:rPr>
                <w:rFonts w:hint="eastAsia"/>
              </w:rPr>
            </w:pPr>
            <w:r>
              <w:rPr>
                <w:rFonts w:hint="eastAsia" w:asciiTheme="minorEastAsia" w:hAnsiTheme="minorEastAsia"/>
                <w:color w:val="000000"/>
              </w:rPr>
              <w:t>在教育信息化领域，公司持续以应用软件产品和解决方案创新为核心市场驱动力，围绕高校的教学、科研、管理和服务等全场景，提供覆盖师生及管理者全生命周期的、一站式的、可个性化配置的产品及整体解决方案。公司拥有</w:t>
            </w:r>
            <w:r>
              <w:rPr>
                <w:rFonts w:asciiTheme="minorEastAsia" w:hAnsiTheme="minorEastAsia"/>
                <w:color w:val="000000"/>
              </w:rPr>
              <w:t>140</w:t>
            </w:r>
            <w:r>
              <w:rPr>
                <w:rFonts w:hint="eastAsia" w:asciiTheme="minorEastAsia" w:hAnsiTheme="minorEastAsia"/>
                <w:color w:val="000000"/>
              </w:rPr>
              <w:t>多项自主知识产权产品，累计为1000余所高校、</w:t>
            </w:r>
            <w:r>
              <w:rPr>
                <w:rFonts w:asciiTheme="minorEastAsia" w:hAnsiTheme="minorEastAsia"/>
                <w:color w:val="000000"/>
              </w:rPr>
              <w:t>2000</w:t>
            </w:r>
            <w:r>
              <w:rPr>
                <w:rFonts w:hint="eastAsia" w:asciiTheme="minorEastAsia" w:hAnsiTheme="minorEastAsia"/>
                <w:color w:val="000000"/>
              </w:rPr>
              <w:t>多万师生提供信息化服务，客户覆盖全国</w:t>
            </w:r>
            <w:r>
              <w:rPr>
                <w:rFonts w:asciiTheme="minorEastAsia" w:hAnsiTheme="minorEastAsia"/>
                <w:color w:val="000000"/>
              </w:rPr>
              <w:t>30</w:t>
            </w:r>
            <w:r>
              <w:rPr>
                <w:rFonts w:hint="eastAsia" w:asciiTheme="minorEastAsia" w:hAnsiTheme="minorEastAsia"/>
                <w:color w:val="000000"/>
              </w:rPr>
              <w:t>个省（自治区、直辖市）。在此基础上，公司积极布局“云服务”战略升级，在移动办公、在线教学、学生管理、会议服务、离校就业等业务细分领域，为客户提供</w:t>
            </w:r>
            <w:r>
              <w:rPr>
                <w:rFonts w:asciiTheme="minorEastAsia" w:hAnsiTheme="minorEastAsia"/>
                <w:color w:val="000000"/>
              </w:rPr>
              <w:t>SaaS</w:t>
            </w:r>
            <w:r>
              <w:rPr>
                <w:rFonts w:hint="eastAsia" w:asciiTheme="minorEastAsia" w:hAnsiTheme="minorEastAsia"/>
                <w:color w:val="000000"/>
              </w:rPr>
              <w:t>软件服务。未来，公司将积极探索服务创新、持续提升客户价值，全面支撑新形势下客户不断提升的信息化需求。</w:t>
            </w:r>
          </w:p>
          <w:p>
            <w:r>
              <w:drawing>
                <wp:inline distT="0" distB="0" distL="0" distR="0">
                  <wp:extent cx="4077970" cy="3042285"/>
                  <wp:effectExtent l="0" t="0" r="11430" b="57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970" cy="30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0" distR="0">
                  <wp:extent cx="4068445" cy="3051175"/>
                  <wp:effectExtent l="0" t="0" r="825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445" cy="305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>
            <w:r>
              <w:drawing>
                <wp:inline distT="0" distB="0" distL="0" distR="0">
                  <wp:extent cx="4071620" cy="3063875"/>
                  <wp:effectExtent l="0" t="0" r="508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620" cy="30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widowControl/>
              <w:spacing w:line="276" w:lineRule="auto"/>
              <w:ind w:firstLine="480" w:firstLineChars="200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公司自</w:t>
            </w:r>
            <w:r>
              <w:rPr>
                <w:rFonts w:asciiTheme="minorEastAsia" w:hAnsiTheme="minorEastAsia"/>
                <w:color w:val="000000"/>
              </w:rPr>
              <w:t>2013</w:t>
            </w:r>
            <w:r>
              <w:rPr>
                <w:rFonts w:hint="eastAsia" w:asciiTheme="minorEastAsia" w:hAnsiTheme="minorEastAsia"/>
                <w:color w:val="000000"/>
              </w:rPr>
              <w:t>年起参与电子公文标准编制与验证工作，参与电子公文技术攻关，一直将信创业务作为公司重要发展战略。经过多年坚定的投入，公司在业务拓展、技术能力等多方面处于业内领先地位。报告期内，公司高质量完成前期试点项目验收工作，取得份额领先的市场地位。根据信创技术路线，公司构建统一的信创技术支撑平台，积极开展信创业务布局，创新产品和解决方案；构建产业链合作；在全国多地建设集成适配中心，以此持续提升集成服务能力；做好业务流程和人员组织保障，为信创市场全面启动做好充分准备。</w:t>
            </w:r>
          </w:p>
          <w:p>
            <w:pPr>
              <w:pStyle w:val="9"/>
              <w:widowControl/>
              <w:spacing w:line="276" w:lineRule="auto"/>
              <w:ind w:firstLine="480" w:firstLineChars="200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随着未来几年信创产业的加速发展，公司凭借在信创领域积累多年的技术、产品与实施经验，在法律科技等传统优势领域将更具竞争力，并将以此为契机，拓展新的电子政务细分领域，打开</w:t>
            </w:r>
            <w:r>
              <w:rPr>
                <w:rFonts w:asciiTheme="minorEastAsia" w:hAnsiTheme="minorEastAsia"/>
                <w:color w:val="000000"/>
              </w:rPr>
              <w:t>“</w:t>
            </w:r>
            <w:r>
              <w:rPr>
                <w:rFonts w:hint="eastAsia" w:asciiTheme="minorEastAsia" w:hAnsiTheme="minorEastAsia"/>
                <w:color w:val="000000"/>
              </w:rPr>
              <w:t>智慧政务</w:t>
            </w:r>
            <w:r>
              <w:rPr>
                <w:rFonts w:asciiTheme="minorEastAsia" w:hAnsiTheme="minorEastAsia"/>
                <w:color w:val="000000"/>
              </w:rPr>
              <w:t>”</w:t>
            </w:r>
            <w:r>
              <w:rPr>
                <w:rFonts w:hint="eastAsia" w:asciiTheme="minorEastAsia" w:hAnsiTheme="minorEastAsia"/>
                <w:color w:val="000000"/>
              </w:rPr>
              <w:t>业务板块的发展空间。</w:t>
            </w:r>
          </w:p>
          <w:p>
            <w:pPr>
              <w:rPr>
                <w:rFonts w:hint="eastAsia"/>
              </w:rPr>
            </w:pPr>
          </w:p>
          <w:p>
            <w:r>
              <w:drawing>
                <wp:inline distT="0" distB="0" distL="0" distR="0">
                  <wp:extent cx="4081145" cy="3063240"/>
                  <wp:effectExtent l="0" t="0" r="8255" b="1016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145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0" distR="0">
                  <wp:extent cx="4081145" cy="3060700"/>
                  <wp:effectExtent l="0" t="0" r="825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145" cy="30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r>
              <w:drawing>
                <wp:inline distT="0" distB="0" distL="0" distR="0">
                  <wp:extent cx="4057650" cy="3040380"/>
                  <wp:effectExtent l="0" t="0" r="6350" b="762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304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0" distR="0">
                  <wp:extent cx="4064635" cy="3049270"/>
                  <wp:effectExtent l="0" t="0" r="12065" b="1143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635" cy="304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82" w:firstLineChars="20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二</w:t>
            </w:r>
            <w:r>
              <w:rPr>
                <w:rFonts w:hint="eastAsia"/>
                <w:b/>
                <w:sz w:val="24"/>
              </w:rPr>
              <w:t>、</w:t>
            </w:r>
            <w:r>
              <w:rPr>
                <w:rFonts w:hint="eastAsia"/>
                <w:b/>
                <w:sz w:val="24"/>
                <w:lang w:val="en-US" w:eastAsia="zh-CN"/>
              </w:rPr>
              <w:t>投资者交流问答环节</w:t>
            </w:r>
            <w:r>
              <w:rPr>
                <w:rFonts w:hint="eastAsia"/>
                <w:b/>
                <w:sz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（一）总述类问题：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信创长期定位，毕竟现在集成较多，是否可持续，三年后是否有软件产品？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信创是一个新的技术体系，未来它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会变成一个常规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性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业务，还是解决原来各行各业的信息化问题，只不过是用新的产品、新的技术去解决。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对于公司第一个机会，是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由于我们在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信创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这个领域做得好，客户都能够广泛认同，所以我们有希望通过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信创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的业务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进一步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扩大我们原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有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传统业务的市场占有率，因为有很多竞争对手不具备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信创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 xml:space="preserve">能力。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对于公司第二个机会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可能通过我们信创的能力，在我们原先不占优势的市场去拓展我们的市场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因为原先的市场很分散，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我们可以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依靠我们的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信创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能力，在细分市场里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取得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一个比较好的市场占有率，这是有可能的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因为很多的企业不具备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信创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能力，而原先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它只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占据了一部分小的市场。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在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这些市场占有率提升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的过程中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我们一定会打造出这个细分市场的产品；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或者说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我们拓展了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一个细分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市场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的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时候，一定不是仅仅的卖硬件，做系统集成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而是提供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产品、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提供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服务、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提供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解决方案。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b/>
                <w:bCs/>
                <w:color w:val="auto"/>
                <w:sz w:val="24"/>
                <w:szCs w:val="24"/>
              </w:rPr>
              <w:t>信创在19年的收入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  <w:t>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19年信创不是业务放量的年。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信创业务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具体收入和新签合同情况要关注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20年及以后。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信创订单应用软件占比和实施周期，在手订单到确认收入的周期？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信创目前刚开始起步阶段，系统集成占比要高一些。未来应用软件的占比会提升上来。系统集成占比高，所以验收相对简单一些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实施周期不长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公司从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13年开始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在技术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、产品、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业务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流程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等方面形成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积累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公司内部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将信创技术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当成一个技术支撑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信创与非信创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实施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差别不大。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年报里提到了信创在金融领域的开拓，请问信创进入金融领域案例？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金融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业务量小，与大数据相关，信创不会带来金融业务大幅提升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、公司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应用软件毛利率下滑原因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  <w:t>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应用软件的毛利率同比下降了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1.72%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这一类行业的特点，毛利率在每年当中的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有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一些上下的波动，应该都属于一个正常现象。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订单是业绩前瞻指标，目前在手订单下滑，业绩目标是否下调？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订单确实是业绩前瞻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性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指标，同时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它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只是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其中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一部分，还有当年合同的签订情况。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19年合同订单总额下降，但主要贡献利润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软件和运维合同都是上升的，利润有良好的保障。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从收入上来讲，2020年是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信创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发展的一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个大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年，信创业务对公司在2020年的收入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应该会有比较大的贡献。基于这两个因素，目前对公司全年业绩的增速目标没有下调。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公司申请三亿授信用来做什么？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目前在陆续着手增加相关银行的授信规模，为信创业务做资金准备。预计信创业务无论是单个项目规模还是整体规模，体量会比较大，对资金支持要求会比较高。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公司2019年非经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常性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损益中政府补助大幅增加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原因？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前几年开始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陆续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承接一些国家部委级别的重大科研课题的项目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，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这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些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非经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常性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损益当中的政府补助，主要就是课题项目收到的课题资金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疫情影响除了工程实施延缓，是否对商务拓展有影响？会持续多久，是否会在Q2有报复性体现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一般Q1收入确认很少，由于春节上班时间少，收入只占百分之十几，所以影响不会很大，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之后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也不会有报复性体现。对商务拓展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影响，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但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只是招投标会后延，比实施的影响少很多。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ascii="宋体" w:hAnsi="宋体" w:eastAsia="宋体" w:cs="宋体"/>
                <w:b/>
                <w:bCs/>
                <w:color w:val="auto"/>
                <w:sz w:val="24"/>
                <w:szCs w:val="24"/>
              </w:rPr>
              <w:t>请问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董事长，华宇元典向华宇</w:t>
            </w:r>
            <w:r>
              <w:rPr>
                <w:rFonts w:ascii="宋体" w:hAnsi="宋体" w:eastAsia="宋体" w:cs="宋体"/>
                <w:b/>
                <w:bCs/>
                <w:color w:val="auto"/>
                <w:sz w:val="24"/>
                <w:szCs w:val="24"/>
              </w:rPr>
              <w:t>信息的收费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201</w:t>
            </w:r>
            <w:r>
              <w:rPr>
                <w:rFonts w:ascii="宋体" w:hAnsi="宋体" w:eastAsia="宋体" w:cs="宋体"/>
                <w:b/>
                <w:bCs/>
                <w:color w:val="auto"/>
                <w:sz w:val="24"/>
                <w:szCs w:val="24"/>
              </w:rPr>
              <w:t>9年是多少？董事会成员在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元典</w:t>
            </w:r>
            <w:r>
              <w:rPr>
                <w:rFonts w:ascii="宋体" w:hAnsi="宋体" w:eastAsia="宋体" w:cs="宋体"/>
                <w:b/>
                <w:bCs/>
                <w:color w:val="auto"/>
                <w:sz w:val="24"/>
                <w:szCs w:val="24"/>
              </w:rPr>
              <w:t>的持股是多少？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华宇软件的董事会成员在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元典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应该是没有持股的，至少我是没有持股的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这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不会影响到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华宇元典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和华宇的其他子公司之间交易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的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公正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性和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公允性，所以大家不用担心。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疫情影响下，政府财政预计压力大，是否会影响法律行业和信创行业投入？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疫情会影响政府财政收入，但经济困难情况下政府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更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应采取积极的财政政策，积极投入保障经济。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同时，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法律行业的预算体系有单独保障，可基本保证每年投入不会有太大变化。信创行业是大政方针，信创投入一定会按照计划去落实。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因此，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尽管疫情对财政有影响，但不会影响法律和信创行业投入。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（二）法律科技类问题：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中台推出后，有哪些以前不做的业务可以纳入进来，有无落地的案例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公司在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法律相关的一些行业也逐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步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拓展，在基于法院及检察院这样一些业务中台的积累之后，为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扩展到新的法律相关行业，如政法委、监察委，都带来了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极大的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便利和帮助。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中台案例已经不少了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中央级的、省区级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市级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的案例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都有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对第三方、当事人的服务也用了很多中台里面能力，如法律检索（睿核）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公司3000多法院客户中，IT较成熟的约占多少？如果以T3全面替代，采购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总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额相差多少？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成熟客户接近1/3，总的来说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法院领域，相当多的法院智能化应用建设不足。在订单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总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额上，智慧法院建设的外延跟传统的法院信息管理系统不一样，是全新一代产品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不是简单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替代，没法直接比较。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互联网+法院的各类服务，云间法院、智慧庭审，是否为公有云SaaS模式？是否有望按年收费？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目前是SaaS方式，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公司通过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年服务费这种方式去沟通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推广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客户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方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面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对此比较热情。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但是从政府的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预算制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财政体系来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看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，对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saas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服务的这种申请，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客户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还需要做一些调整。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目前在跟几个地区的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客户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沟通这种方式，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客户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还是挺有热情的，这样可以减少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法院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t>一次投资的投入。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华宇元典进展如何，to B、G、C业务发展情况？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元典业务进展正常。元典两项业务，To G和To B、C的业务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To G业务不是独立开展的，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而是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作为整个战略集团的重要支撑单位，与华宇信息等进行协同，做技术支撑。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目前，公司在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To B开拓了几个很关键性的客户，与其进行研究和解决方案的打磨，成立了销售队伍，应该会在2020年在市场上有推广和突破。C端市场主要拓展律师（6万人），对普通公众没有去拓展。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目前，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元典还处在初期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发展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阶段，收入和利润的贡献一两年内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不要抱有太大希望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中台的销售模式？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中台还是作为解决方案，不会独立去卖。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2" w:firstLineChars="200"/>
              <w:textAlignment w:val="auto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（三）教育信息化类问题：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教育信息化毛利增速相对净利润增速较低原因？未来是否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继续维持现有毛利率水平？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教育信息化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的角度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看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，这几年销售费用、管理费用增速相对保持了正常水平，但相对于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整体收入水平来看，费用绝对值偏低。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近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两年在全国营销网络布局投入会多一些，销售费用增长上会略高，营销端的投入经过前期增长后现在已经逐渐平缓下来。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教育业务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19年毛利率下降，是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因为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18年集成业务快速增长，所以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19年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系统集成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营业收入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占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比较大，集成业务占比稍高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拉低整体毛利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未来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软件业务比重越来越大（超60%），维持原有毛利率水平是没有问题的，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还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应有所提升。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高校采购是否延续性？教育业务是否可持续？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学校信息化投入有持续保障，一般按三五年规划、三期五年之类，一旦开始开展合作，一般会在之后的二三期建设继续合作，原有客户会保持。新增市场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开拓同样带来增量客户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客户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粘性较大，延续性较好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教育信息化资金以财政资金为主，一般每年会持续增长。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高校目前上云意愿如何？校园一卡通公司，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如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新开普等也在开发PaaS平台，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如何看市场？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目前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学校上云已经问题不大了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，以往大家会担心学校把数据当做资产，现在大家的思想完全开放了，包括云课堂等，数据都是在云上跑的，明显感觉大家在安全上的信任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度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更开放了。所有大企业都在率先做生态，华宇要做大生态中的小生态，先去做教育信息化领域生态。一卡通核心是生活消费领域，是大生态的一个环节，目前没看到公开信息，推断出发点和起点会不一样。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2" w:firstLineChars="200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学校按照年收费的可能性，是否可以获得服务性财政支撑？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40" w:after="240" w:line="240" w:lineRule="auto"/>
              <w:ind w:firstLine="480" w:firstLineChars="200"/>
              <w:textAlignment w:val="auto"/>
              <w:rPr>
                <w:sz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服务性财政性支出上，学校支出是没有太大问题的，很多单位服务都是外包的，财政对这一块的支持是有支撑的。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附件清单（如有）</w:t>
            </w:r>
          </w:p>
        </w:tc>
        <w:tc>
          <w:tcPr>
            <w:tcW w:w="6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日期</w:t>
            </w:r>
          </w:p>
        </w:tc>
        <w:tc>
          <w:tcPr>
            <w:tcW w:w="6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80" w:lineRule="atLeast"/>
              <w:rPr>
                <w:rFonts w:ascii="Arial" w:hAnsi="Arial" w:cs="Arial" w:eastAsiaTheme="minorEastAsia"/>
                <w:bCs/>
                <w:iCs/>
                <w:sz w:val="24"/>
              </w:rPr>
            </w:pPr>
            <w:r>
              <w:rPr>
                <w:rFonts w:ascii="Arial" w:hAnsi="Arial" w:cs="Arial" w:eastAsiaTheme="minorEastAsia"/>
                <w:bCs/>
                <w:iCs/>
                <w:sz w:val="24"/>
              </w:rPr>
              <w:t>20</w:t>
            </w:r>
            <w:r>
              <w:rPr>
                <w:rFonts w:hint="eastAsia" w:ascii="Arial" w:hAnsi="Arial" w:cs="Arial" w:eastAsiaTheme="minorEastAsia"/>
                <w:bCs/>
                <w:iCs/>
                <w:sz w:val="24"/>
                <w:lang w:val="en-US" w:eastAsia="zh-CN"/>
              </w:rPr>
              <w:t>20</w:t>
            </w:r>
            <w:r>
              <w:rPr>
                <w:rFonts w:ascii="Arial" w:hAnsi="Arial" w:cs="Arial" w:eastAsiaTheme="minorEastAsia"/>
                <w:bCs/>
                <w:iCs/>
                <w:sz w:val="24"/>
              </w:rPr>
              <w:t>年</w:t>
            </w:r>
            <w:r>
              <w:rPr>
                <w:rFonts w:hint="eastAsia" w:ascii="Arial" w:hAnsi="Arial" w:cs="Arial" w:eastAsiaTheme="minorEastAsia"/>
                <w:bCs/>
                <w:iCs/>
                <w:sz w:val="24"/>
                <w:lang w:val="en-US" w:eastAsia="zh-CN"/>
              </w:rPr>
              <w:t>3</w:t>
            </w:r>
            <w:r>
              <w:rPr>
                <w:rFonts w:ascii="Arial" w:hAnsi="Arial" w:cs="Arial" w:eastAsiaTheme="minorEastAsia"/>
                <w:bCs/>
                <w:iCs/>
                <w:sz w:val="24"/>
              </w:rPr>
              <w:t>月</w:t>
            </w:r>
            <w:r>
              <w:rPr>
                <w:rFonts w:hint="eastAsia" w:ascii="Arial" w:hAnsi="Arial" w:cs="Arial" w:eastAsiaTheme="minorEastAsia"/>
                <w:bCs/>
                <w:iCs/>
                <w:sz w:val="24"/>
                <w:lang w:val="en-US" w:eastAsia="zh-CN"/>
              </w:rPr>
              <w:t>19</w:t>
            </w:r>
            <w:r>
              <w:rPr>
                <w:rFonts w:ascii="Arial" w:hAnsi="Arial" w:cs="Arial" w:eastAsiaTheme="minorEastAsia"/>
                <w:bCs/>
                <w:iCs/>
                <w:sz w:val="24"/>
              </w:rPr>
              <w:t>日</w:t>
            </w:r>
          </w:p>
        </w:tc>
      </w:tr>
    </w:tbl>
    <w:p>
      <w:pPr>
        <w:rPr>
          <w:rFonts w:ascii="Arial" w:hAnsi="Arial" w:cs="Arial" w:eastAsiaTheme="minor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0C4"/>
    <w:rsid w:val="000071AE"/>
    <w:rsid w:val="00011EE9"/>
    <w:rsid w:val="00013973"/>
    <w:rsid w:val="00016D95"/>
    <w:rsid w:val="00016E0A"/>
    <w:rsid w:val="000217DC"/>
    <w:rsid w:val="00021A9B"/>
    <w:rsid w:val="000228CD"/>
    <w:rsid w:val="00027E38"/>
    <w:rsid w:val="00036C93"/>
    <w:rsid w:val="00037ACF"/>
    <w:rsid w:val="00041701"/>
    <w:rsid w:val="000450AB"/>
    <w:rsid w:val="00045CC0"/>
    <w:rsid w:val="00046BB2"/>
    <w:rsid w:val="00052322"/>
    <w:rsid w:val="00054084"/>
    <w:rsid w:val="000558DF"/>
    <w:rsid w:val="00055D4A"/>
    <w:rsid w:val="00062347"/>
    <w:rsid w:val="00064EC8"/>
    <w:rsid w:val="00064FAF"/>
    <w:rsid w:val="000672B7"/>
    <w:rsid w:val="00067BA1"/>
    <w:rsid w:val="000779C3"/>
    <w:rsid w:val="0008082A"/>
    <w:rsid w:val="00084CCB"/>
    <w:rsid w:val="000853B0"/>
    <w:rsid w:val="00085D6A"/>
    <w:rsid w:val="000920C3"/>
    <w:rsid w:val="00092453"/>
    <w:rsid w:val="00092C10"/>
    <w:rsid w:val="00095B57"/>
    <w:rsid w:val="00097B99"/>
    <w:rsid w:val="000A487E"/>
    <w:rsid w:val="000A75BD"/>
    <w:rsid w:val="000B1633"/>
    <w:rsid w:val="000B4BB7"/>
    <w:rsid w:val="000B611B"/>
    <w:rsid w:val="000B652E"/>
    <w:rsid w:val="000B764F"/>
    <w:rsid w:val="000C038B"/>
    <w:rsid w:val="000C3F73"/>
    <w:rsid w:val="000C503F"/>
    <w:rsid w:val="000C5634"/>
    <w:rsid w:val="000C5EB1"/>
    <w:rsid w:val="000D4BA4"/>
    <w:rsid w:val="000D68DA"/>
    <w:rsid w:val="000D7B22"/>
    <w:rsid w:val="000E1F91"/>
    <w:rsid w:val="000E2CA1"/>
    <w:rsid w:val="000E54F0"/>
    <w:rsid w:val="000F5F3B"/>
    <w:rsid w:val="000F75E0"/>
    <w:rsid w:val="00104C23"/>
    <w:rsid w:val="0011265B"/>
    <w:rsid w:val="00114D85"/>
    <w:rsid w:val="001158E4"/>
    <w:rsid w:val="00116746"/>
    <w:rsid w:val="00117689"/>
    <w:rsid w:val="00126476"/>
    <w:rsid w:val="00127100"/>
    <w:rsid w:val="001302F8"/>
    <w:rsid w:val="0013204A"/>
    <w:rsid w:val="00135E76"/>
    <w:rsid w:val="001406C7"/>
    <w:rsid w:val="0014677E"/>
    <w:rsid w:val="00151EF6"/>
    <w:rsid w:val="00152C12"/>
    <w:rsid w:val="001540ED"/>
    <w:rsid w:val="001543B9"/>
    <w:rsid w:val="00156902"/>
    <w:rsid w:val="00157E43"/>
    <w:rsid w:val="00160576"/>
    <w:rsid w:val="001607DB"/>
    <w:rsid w:val="00161EF9"/>
    <w:rsid w:val="0016754D"/>
    <w:rsid w:val="0017722B"/>
    <w:rsid w:val="00177E72"/>
    <w:rsid w:val="00180EC5"/>
    <w:rsid w:val="0018361C"/>
    <w:rsid w:val="00185CE3"/>
    <w:rsid w:val="00186DFE"/>
    <w:rsid w:val="001904DB"/>
    <w:rsid w:val="00192207"/>
    <w:rsid w:val="001931A5"/>
    <w:rsid w:val="0019780B"/>
    <w:rsid w:val="001A01BC"/>
    <w:rsid w:val="001A06C7"/>
    <w:rsid w:val="001A3949"/>
    <w:rsid w:val="001A4F16"/>
    <w:rsid w:val="001A5A34"/>
    <w:rsid w:val="001A5B1E"/>
    <w:rsid w:val="001B0BAB"/>
    <w:rsid w:val="001B4410"/>
    <w:rsid w:val="001B7580"/>
    <w:rsid w:val="001B7879"/>
    <w:rsid w:val="001C095B"/>
    <w:rsid w:val="001C1109"/>
    <w:rsid w:val="001C17B5"/>
    <w:rsid w:val="001D173E"/>
    <w:rsid w:val="001D326D"/>
    <w:rsid w:val="001D6BC2"/>
    <w:rsid w:val="001D6CAF"/>
    <w:rsid w:val="001E14C3"/>
    <w:rsid w:val="001E1C42"/>
    <w:rsid w:val="001E2AA3"/>
    <w:rsid w:val="001E4DA3"/>
    <w:rsid w:val="001F3413"/>
    <w:rsid w:val="001F3803"/>
    <w:rsid w:val="001F39C9"/>
    <w:rsid w:val="001F45DB"/>
    <w:rsid w:val="002007B9"/>
    <w:rsid w:val="00202CDA"/>
    <w:rsid w:val="0020540E"/>
    <w:rsid w:val="0021356E"/>
    <w:rsid w:val="00214161"/>
    <w:rsid w:val="00220195"/>
    <w:rsid w:val="00220DBC"/>
    <w:rsid w:val="00227641"/>
    <w:rsid w:val="0022771B"/>
    <w:rsid w:val="002352BC"/>
    <w:rsid w:val="00236DD6"/>
    <w:rsid w:val="002374EA"/>
    <w:rsid w:val="002401C2"/>
    <w:rsid w:val="002411CD"/>
    <w:rsid w:val="002412E0"/>
    <w:rsid w:val="002421F4"/>
    <w:rsid w:val="0024385A"/>
    <w:rsid w:val="00244862"/>
    <w:rsid w:val="00246674"/>
    <w:rsid w:val="0024743E"/>
    <w:rsid w:val="00254884"/>
    <w:rsid w:val="00256363"/>
    <w:rsid w:val="00265D41"/>
    <w:rsid w:val="00271567"/>
    <w:rsid w:val="00273F65"/>
    <w:rsid w:val="00282650"/>
    <w:rsid w:val="002830F8"/>
    <w:rsid w:val="002A1C11"/>
    <w:rsid w:val="002A3BD1"/>
    <w:rsid w:val="002A510F"/>
    <w:rsid w:val="002B3C2F"/>
    <w:rsid w:val="002B490D"/>
    <w:rsid w:val="002B78E8"/>
    <w:rsid w:val="002C1665"/>
    <w:rsid w:val="002C4BEB"/>
    <w:rsid w:val="002C58BF"/>
    <w:rsid w:val="002C5C06"/>
    <w:rsid w:val="002C64C6"/>
    <w:rsid w:val="002D1AA3"/>
    <w:rsid w:val="002D2479"/>
    <w:rsid w:val="002D47D4"/>
    <w:rsid w:val="002D4F8D"/>
    <w:rsid w:val="002D6A50"/>
    <w:rsid w:val="002D6E84"/>
    <w:rsid w:val="002E089A"/>
    <w:rsid w:val="002E3B19"/>
    <w:rsid w:val="002E49A6"/>
    <w:rsid w:val="002F5F3F"/>
    <w:rsid w:val="002F61DF"/>
    <w:rsid w:val="002F664E"/>
    <w:rsid w:val="002F6DDA"/>
    <w:rsid w:val="00304A63"/>
    <w:rsid w:val="00307229"/>
    <w:rsid w:val="00307911"/>
    <w:rsid w:val="003120E0"/>
    <w:rsid w:val="00313DCB"/>
    <w:rsid w:val="0031671D"/>
    <w:rsid w:val="003170E0"/>
    <w:rsid w:val="00317747"/>
    <w:rsid w:val="0032471C"/>
    <w:rsid w:val="003251F2"/>
    <w:rsid w:val="00330792"/>
    <w:rsid w:val="0033487A"/>
    <w:rsid w:val="003375AF"/>
    <w:rsid w:val="003438CF"/>
    <w:rsid w:val="003448AC"/>
    <w:rsid w:val="003465A3"/>
    <w:rsid w:val="003560F6"/>
    <w:rsid w:val="00364393"/>
    <w:rsid w:val="00365314"/>
    <w:rsid w:val="00367C6D"/>
    <w:rsid w:val="003700F1"/>
    <w:rsid w:val="00371F3D"/>
    <w:rsid w:val="0037382B"/>
    <w:rsid w:val="003766C0"/>
    <w:rsid w:val="00376DE9"/>
    <w:rsid w:val="00377CBD"/>
    <w:rsid w:val="00381222"/>
    <w:rsid w:val="0039012E"/>
    <w:rsid w:val="00391309"/>
    <w:rsid w:val="003B6395"/>
    <w:rsid w:val="003B7E29"/>
    <w:rsid w:val="003C2394"/>
    <w:rsid w:val="003C2624"/>
    <w:rsid w:val="003C2AFF"/>
    <w:rsid w:val="003C4CA5"/>
    <w:rsid w:val="003C7A45"/>
    <w:rsid w:val="003D06CB"/>
    <w:rsid w:val="003D307B"/>
    <w:rsid w:val="003D497E"/>
    <w:rsid w:val="003D5E93"/>
    <w:rsid w:val="003D60FE"/>
    <w:rsid w:val="003D7CF9"/>
    <w:rsid w:val="003D7FEB"/>
    <w:rsid w:val="003E096E"/>
    <w:rsid w:val="003E5CC8"/>
    <w:rsid w:val="003F0525"/>
    <w:rsid w:val="003F05D5"/>
    <w:rsid w:val="003F1B8E"/>
    <w:rsid w:val="0040205D"/>
    <w:rsid w:val="00411AF5"/>
    <w:rsid w:val="004222AF"/>
    <w:rsid w:val="00422664"/>
    <w:rsid w:val="00424904"/>
    <w:rsid w:val="00425DC7"/>
    <w:rsid w:val="004266BD"/>
    <w:rsid w:val="00431742"/>
    <w:rsid w:val="004346A5"/>
    <w:rsid w:val="00436FD7"/>
    <w:rsid w:val="0044085F"/>
    <w:rsid w:val="004439E4"/>
    <w:rsid w:val="00444674"/>
    <w:rsid w:val="00445C9B"/>
    <w:rsid w:val="0044610F"/>
    <w:rsid w:val="00450B2A"/>
    <w:rsid w:val="00451324"/>
    <w:rsid w:val="00451B1C"/>
    <w:rsid w:val="00457CAB"/>
    <w:rsid w:val="00461F36"/>
    <w:rsid w:val="004764AC"/>
    <w:rsid w:val="00480A98"/>
    <w:rsid w:val="004815A5"/>
    <w:rsid w:val="00481A61"/>
    <w:rsid w:val="00482970"/>
    <w:rsid w:val="004871A2"/>
    <w:rsid w:val="004874CC"/>
    <w:rsid w:val="00491717"/>
    <w:rsid w:val="00491C51"/>
    <w:rsid w:val="004939F3"/>
    <w:rsid w:val="00494852"/>
    <w:rsid w:val="0049502A"/>
    <w:rsid w:val="00497282"/>
    <w:rsid w:val="004A077A"/>
    <w:rsid w:val="004A6584"/>
    <w:rsid w:val="004B02CB"/>
    <w:rsid w:val="004B442C"/>
    <w:rsid w:val="004B5F94"/>
    <w:rsid w:val="004B7095"/>
    <w:rsid w:val="004C0770"/>
    <w:rsid w:val="004C26A3"/>
    <w:rsid w:val="004C7792"/>
    <w:rsid w:val="004C7A72"/>
    <w:rsid w:val="004D0326"/>
    <w:rsid w:val="004D08F3"/>
    <w:rsid w:val="004D6605"/>
    <w:rsid w:val="004E12FB"/>
    <w:rsid w:val="004E1CA5"/>
    <w:rsid w:val="004E339D"/>
    <w:rsid w:val="004E3DB3"/>
    <w:rsid w:val="004E6E22"/>
    <w:rsid w:val="004F0015"/>
    <w:rsid w:val="004F00C8"/>
    <w:rsid w:val="004F18D3"/>
    <w:rsid w:val="004F564D"/>
    <w:rsid w:val="005001CC"/>
    <w:rsid w:val="005017B9"/>
    <w:rsid w:val="005031F5"/>
    <w:rsid w:val="005041C8"/>
    <w:rsid w:val="00507440"/>
    <w:rsid w:val="00512B98"/>
    <w:rsid w:val="00513F35"/>
    <w:rsid w:val="005174D6"/>
    <w:rsid w:val="005206A4"/>
    <w:rsid w:val="00521637"/>
    <w:rsid w:val="0052263F"/>
    <w:rsid w:val="00525419"/>
    <w:rsid w:val="00530997"/>
    <w:rsid w:val="005318FA"/>
    <w:rsid w:val="0053405C"/>
    <w:rsid w:val="00541B61"/>
    <w:rsid w:val="0054252F"/>
    <w:rsid w:val="00544F60"/>
    <w:rsid w:val="00555966"/>
    <w:rsid w:val="00555D26"/>
    <w:rsid w:val="0055626A"/>
    <w:rsid w:val="005576F8"/>
    <w:rsid w:val="00560B1A"/>
    <w:rsid w:val="005653DD"/>
    <w:rsid w:val="00566FCB"/>
    <w:rsid w:val="00567AB6"/>
    <w:rsid w:val="00567C21"/>
    <w:rsid w:val="00570EB1"/>
    <w:rsid w:val="00576E38"/>
    <w:rsid w:val="0058383F"/>
    <w:rsid w:val="00583967"/>
    <w:rsid w:val="005869B1"/>
    <w:rsid w:val="00586F82"/>
    <w:rsid w:val="00593FD4"/>
    <w:rsid w:val="00595F48"/>
    <w:rsid w:val="0059699E"/>
    <w:rsid w:val="005A7C4F"/>
    <w:rsid w:val="005B18B7"/>
    <w:rsid w:val="005B43B0"/>
    <w:rsid w:val="005B4C23"/>
    <w:rsid w:val="005B6CD8"/>
    <w:rsid w:val="005C01FF"/>
    <w:rsid w:val="005C4986"/>
    <w:rsid w:val="005C75B8"/>
    <w:rsid w:val="005C7F6B"/>
    <w:rsid w:val="005D18F1"/>
    <w:rsid w:val="005D491E"/>
    <w:rsid w:val="005D61B4"/>
    <w:rsid w:val="005E0243"/>
    <w:rsid w:val="005E0E51"/>
    <w:rsid w:val="005E1DA7"/>
    <w:rsid w:val="005E3FB8"/>
    <w:rsid w:val="005E42F3"/>
    <w:rsid w:val="005E7A1C"/>
    <w:rsid w:val="005E7C10"/>
    <w:rsid w:val="005F2A4F"/>
    <w:rsid w:val="005F4466"/>
    <w:rsid w:val="005F60C4"/>
    <w:rsid w:val="005F6575"/>
    <w:rsid w:val="005F6DEC"/>
    <w:rsid w:val="00604617"/>
    <w:rsid w:val="006047AD"/>
    <w:rsid w:val="006073CD"/>
    <w:rsid w:val="00610A4D"/>
    <w:rsid w:val="00612493"/>
    <w:rsid w:val="00612865"/>
    <w:rsid w:val="006137EC"/>
    <w:rsid w:val="00614A3C"/>
    <w:rsid w:val="00614D38"/>
    <w:rsid w:val="006204EC"/>
    <w:rsid w:val="00625659"/>
    <w:rsid w:val="00627E6D"/>
    <w:rsid w:val="006305F1"/>
    <w:rsid w:val="00631316"/>
    <w:rsid w:val="006331F9"/>
    <w:rsid w:val="00646EA7"/>
    <w:rsid w:val="006525B7"/>
    <w:rsid w:val="006566E7"/>
    <w:rsid w:val="0065691D"/>
    <w:rsid w:val="00660615"/>
    <w:rsid w:val="006627D1"/>
    <w:rsid w:val="00666DD5"/>
    <w:rsid w:val="00673F85"/>
    <w:rsid w:val="0067729A"/>
    <w:rsid w:val="00680D35"/>
    <w:rsid w:val="00691235"/>
    <w:rsid w:val="0069425D"/>
    <w:rsid w:val="006967A7"/>
    <w:rsid w:val="00696CA7"/>
    <w:rsid w:val="00697D38"/>
    <w:rsid w:val="006B27E7"/>
    <w:rsid w:val="006B4245"/>
    <w:rsid w:val="006C3DE8"/>
    <w:rsid w:val="006C42F6"/>
    <w:rsid w:val="006C48BA"/>
    <w:rsid w:val="006D0472"/>
    <w:rsid w:val="006D086C"/>
    <w:rsid w:val="006D4897"/>
    <w:rsid w:val="006D6AFE"/>
    <w:rsid w:val="006D7C6C"/>
    <w:rsid w:val="006E6D46"/>
    <w:rsid w:val="006E7FD0"/>
    <w:rsid w:val="006F1D7A"/>
    <w:rsid w:val="006F2910"/>
    <w:rsid w:val="006F70F4"/>
    <w:rsid w:val="00701260"/>
    <w:rsid w:val="00702ECC"/>
    <w:rsid w:val="00704CEB"/>
    <w:rsid w:val="0070753B"/>
    <w:rsid w:val="00712887"/>
    <w:rsid w:val="00713072"/>
    <w:rsid w:val="00716BF2"/>
    <w:rsid w:val="0071709E"/>
    <w:rsid w:val="007206D2"/>
    <w:rsid w:val="0072664D"/>
    <w:rsid w:val="007313D8"/>
    <w:rsid w:val="00735768"/>
    <w:rsid w:val="00736A9F"/>
    <w:rsid w:val="00740AD4"/>
    <w:rsid w:val="00740F96"/>
    <w:rsid w:val="00741910"/>
    <w:rsid w:val="007438B2"/>
    <w:rsid w:val="00747B91"/>
    <w:rsid w:val="0075108C"/>
    <w:rsid w:val="007512F5"/>
    <w:rsid w:val="00754E2E"/>
    <w:rsid w:val="00757720"/>
    <w:rsid w:val="0076118E"/>
    <w:rsid w:val="00764ED2"/>
    <w:rsid w:val="00766109"/>
    <w:rsid w:val="00767823"/>
    <w:rsid w:val="00770B8B"/>
    <w:rsid w:val="00775132"/>
    <w:rsid w:val="00776BC7"/>
    <w:rsid w:val="00782C65"/>
    <w:rsid w:val="0078501B"/>
    <w:rsid w:val="007911C1"/>
    <w:rsid w:val="007932E7"/>
    <w:rsid w:val="00793884"/>
    <w:rsid w:val="007A15A1"/>
    <w:rsid w:val="007A25FE"/>
    <w:rsid w:val="007A2F1E"/>
    <w:rsid w:val="007A74B4"/>
    <w:rsid w:val="007A7C8C"/>
    <w:rsid w:val="007B0BA4"/>
    <w:rsid w:val="007B0CE9"/>
    <w:rsid w:val="007B7868"/>
    <w:rsid w:val="007C33A8"/>
    <w:rsid w:val="007C370C"/>
    <w:rsid w:val="007C3E56"/>
    <w:rsid w:val="007D289E"/>
    <w:rsid w:val="007D7550"/>
    <w:rsid w:val="007D7C8A"/>
    <w:rsid w:val="007E64DA"/>
    <w:rsid w:val="007F0B80"/>
    <w:rsid w:val="007F193D"/>
    <w:rsid w:val="007F356A"/>
    <w:rsid w:val="007F37D7"/>
    <w:rsid w:val="00800603"/>
    <w:rsid w:val="008071E3"/>
    <w:rsid w:val="00807ECB"/>
    <w:rsid w:val="00821054"/>
    <w:rsid w:val="0082319A"/>
    <w:rsid w:val="008303C6"/>
    <w:rsid w:val="0083049E"/>
    <w:rsid w:val="00832CCC"/>
    <w:rsid w:val="00833FDC"/>
    <w:rsid w:val="00835279"/>
    <w:rsid w:val="00835AA5"/>
    <w:rsid w:val="00841DA1"/>
    <w:rsid w:val="00845600"/>
    <w:rsid w:val="0084582D"/>
    <w:rsid w:val="008464F6"/>
    <w:rsid w:val="008521E4"/>
    <w:rsid w:val="00853343"/>
    <w:rsid w:val="0085439F"/>
    <w:rsid w:val="00854718"/>
    <w:rsid w:val="00857752"/>
    <w:rsid w:val="00860D35"/>
    <w:rsid w:val="008708D5"/>
    <w:rsid w:val="00872480"/>
    <w:rsid w:val="00875679"/>
    <w:rsid w:val="00891E98"/>
    <w:rsid w:val="00893A4D"/>
    <w:rsid w:val="008A21A1"/>
    <w:rsid w:val="008A3DBB"/>
    <w:rsid w:val="008A5BFF"/>
    <w:rsid w:val="008B02EF"/>
    <w:rsid w:val="008B2F67"/>
    <w:rsid w:val="008B43CA"/>
    <w:rsid w:val="008B6BC9"/>
    <w:rsid w:val="008B77B0"/>
    <w:rsid w:val="008C0DA9"/>
    <w:rsid w:val="008C1060"/>
    <w:rsid w:val="008C2D00"/>
    <w:rsid w:val="008C4309"/>
    <w:rsid w:val="008D0CD5"/>
    <w:rsid w:val="008D3B74"/>
    <w:rsid w:val="008D3EC1"/>
    <w:rsid w:val="008D5AE2"/>
    <w:rsid w:val="008D644F"/>
    <w:rsid w:val="008D7597"/>
    <w:rsid w:val="008E01A5"/>
    <w:rsid w:val="008E1409"/>
    <w:rsid w:val="008E15EB"/>
    <w:rsid w:val="008E48EA"/>
    <w:rsid w:val="008E5692"/>
    <w:rsid w:val="008E65D7"/>
    <w:rsid w:val="008F63E6"/>
    <w:rsid w:val="008F794B"/>
    <w:rsid w:val="0090261D"/>
    <w:rsid w:val="00904C54"/>
    <w:rsid w:val="0090519F"/>
    <w:rsid w:val="00905212"/>
    <w:rsid w:val="0090767A"/>
    <w:rsid w:val="00910A7A"/>
    <w:rsid w:val="00915E36"/>
    <w:rsid w:val="00920B12"/>
    <w:rsid w:val="00926C67"/>
    <w:rsid w:val="00937704"/>
    <w:rsid w:val="00937970"/>
    <w:rsid w:val="00943F7A"/>
    <w:rsid w:val="009440B0"/>
    <w:rsid w:val="009449C5"/>
    <w:rsid w:val="00945323"/>
    <w:rsid w:val="00947C6B"/>
    <w:rsid w:val="00953762"/>
    <w:rsid w:val="00963CA6"/>
    <w:rsid w:val="00965C8F"/>
    <w:rsid w:val="0097016B"/>
    <w:rsid w:val="0097187B"/>
    <w:rsid w:val="00971946"/>
    <w:rsid w:val="0097715F"/>
    <w:rsid w:val="0098256F"/>
    <w:rsid w:val="00984437"/>
    <w:rsid w:val="00985E6B"/>
    <w:rsid w:val="00986A4A"/>
    <w:rsid w:val="00991115"/>
    <w:rsid w:val="0099232D"/>
    <w:rsid w:val="00994A11"/>
    <w:rsid w:val="00994C58"/>
    <w:rsid w:val="00997B16"/>
    <w:rsid w:val="009A169D"/>
    <w:rsid w:val="009A1C63"/>
    <w:rsid w:val="009A330D"/>
    <w:rsid w:val="009A4F3A"/>
    <w:rsid w:val="009A70D5"/>
    <w:rsid w:val="009A763B"/>
    <w:rsid w:val="009B016F"/>
    <w:rsid w:val="009B4EAA"/>
    <w:rsid w:val="009C266C"/>
    <w:rsid w:val="009D0CB5"/>
    <w:rsid w:val="009D52B1"/>
    <w:rsid w:val="009E08B8"/>
    <w:rsid w:val="009E7230"/>
    <w:rsid w:val="009E743C"/>
    <w:rsid w:val="009E7EBE"/>
    <w:rsid w:val="009F2C0B"/>
    <w:rsid w:val="00A032E6"/>
    <w:rsid w:val="00A04C2E"/>
    <w:rsid w:val="00A053E7"/>
    <w:rsid w:val="00A078A8"/>
    <w:rsid w:val="00A12F37"/>
    <w:rsid w:val="00A14F08"/>
    <w:rsid w:val="00A17EF9"/>
    <w:rsid w:val="00A243CF"/>
    <w:rsid w:val="00A336DD"/>
    <w:rsid w:val="00A36126"/>
    <w:rsid w:val="00A362A9"/>
    <w:rsid w:val="00A36D98"/>
    <w:rsid w:val="00A4411B"/>
    <w:rsid w:val="00A44B55"/>
    <w:rsid w:val="00A45F4F"/>
    <w:rsid w:val="00A50257"/>
    <w:rsid w:val="00A50B0D"/>
    <w:rsid w:val="00A5352D"/>
    <w:rsid w:val="00A549E5"/>
    <w:rsid w:val="00A55444"/>
    <w:rsid w:val="00A60480"/>
    <w:rsid w:val="00A60D9D"/>
    <w:rsid w:val="00A6447D"/>
    <w:rsid w:val="00A6498A"/>
    <w:rsid w:val="00A65697"/>
    <w:rsid w:val="00A66F59"/>
    <w:rsid w:val="00A75A99"/>
    <w:rsid w:val="00A77338"/>
    <w:rsid w:val="00A7783D"/>
    <w:rsid w:val="00A826B7"/>
    <w:rsid w:val="00A8296C"/>
    <w:rsid w:val="00A859AA"/>
    <w:rsid w:val="00A86787"/>
    <w:rsid w:val="00A86872"/>
    <w:rsid w:val="00A87D6B"/>
    <w:rsid w:val="00A90D91"/>
    <w:rsid w:val="00A91CDE"/>
    <w:rsid w:val="00A921A1"/>
    <w:rsid w:val="00A945FD"/>
    <w:rsid w:val="00A9466C"/>
    <w:rsid w:val="00A97387"/>
    <w:rsid w:val="00AA4C13"/>
    <w:rsid w:val="00AA67D5"/>
    <w:rsid w:val="00AA6F21"/>
    <w:rsid w:val="00AA735E"/>
    <w:rsid w:val="00AB1B8D"/>
    <w:rsid w:val="00AB4F3C"/>
    <w:rsid w:val="00AC0AC6"/>
    <w:rsid w:val="00AC2E72"/>
    <w:rsid w:val="00AC3D50"/>
    <w:rsid w:val="00AC5EB3"/>
    <w:rsid w:val="00AC712E"/>
    <w:rsid w:val="00AD43E3"/>
    <w:rsid w:val="00AD4A57"/>
    <w:rsid w:val="00AD5C7A"/>
    <w:rsid w:val="00AD5EC2"/>
    <w:rsid w:val="00AD6D53"/>
    <w:rsid w:val="00AE6A4C"/>
    <w:rsid w:val="00AE7B13"/>
    <w:rsid w:val="00AF6FBE"/>
    <w:rsid w:val="00B00D52"/>
    <w:rsid w:val="00B01136"/>
    <w:rsid w:val="00B03A6B"/>
    <w:rsid w:val="00B0777F"/>
    <w:rsid w:val="00B07D91"/>
    <w:rsid w:val="00B1594C"/>
    <w:rsid w:val="00B16460"/>
    <w:rsid w:val="00B21302"/>
    <w:rsid w:val="00B21800"/>
    <w:rsid w:val="00B230E3"/>
    <w:rsid w:val="00B30CB3"/>
    <w:rsid w:val="00B31A6F"/>
    <w:rsid w:val="00B32781"/>
    <w:rsid w:val="00B33861"/>
    <w:rsid w:val="00B36D19"/>
    <w:rsid w:val="00B379F6"/>
    <w:rsid w:val="00B43D16"/>
    <w:rsid w:val="00B4784C"/>
    <w:rsid w:val="00B503FC"/>
    <w:rsid w:val="00B50B19"/>
    <w:rsid w:val="00B57DB1"/>
    <w:rsid w:val="00B60E6E"/>
    <w:rsid w:val="00B615B8"/>
    <w:rsid w:val="00B650D4"/>
    <w:rsid w:val="00B67B8F"/>
    <w:rsid w:val="00B73181"/>
    <w:rsid w:val="00B7488E"/>
    <w:rsid w:val="00B75F8A"/>
    <w:rsid w:val="00B802F4"/>
    <w:rsid w:val="00B81FD1"/>
    <w:rsid w:val="00B836DC"/>
    <w:rsid w:val="00B851B4"/>
    <w:rsid w:val="00B853D8"/>
    <w:rsid w:val="00B865C2"/>
    <w:rsid w:val="00B87961"/>
    <w:rsid w:val="00B87AE1"/>
    <w:rsid w:val="00B93E6A"/>
    <w:rsid w:val="00B93E6D"/>
    <w:rsid w:val="00B96411"/>
    <w:rsid w:val="00BA0317"/>
    <w:rsid w:val="00BA2099"/>
    <w:rsid w:val="00BA2498"/>
    <w:rsid w:val="00BA565C"/>
    <w:rsid w:val="00BA5ADD"/>
    <w:rsid w:val="00BA6EDC"/>
    <w:rsid w:val="00BB165D"/>
    <w:rsid w:val="00BC02CB"/>
    <w:rsid w:val="00BC0DCF"/>
    <w:rsid w:val="00BC1741"/>
    <w:rsid w:val="00BC3914"/>
    <w:rsid w:val="00BC3BF2"/>
    <w:rsid w:val="00BC433E"/>
    <w:rsid w:val="00BC7458"/>
    <w:rsid w:val="00BC7AA6"/>
    <w:rsid w:val="00BD09DF"/>
    <w:rsid w:val="00BD7A02"/>
    <w:rsid w:val="00BD7E42"/>
    <w:rsid w:val="00BE0AEB"/>
    <w:rsid w:val="00BE289F"/>
    <w:rsid w:val="00BE6296"/>
    <w:rsid w:val="00BE6316"/>
    <w:rsid w:val="00BF6182"/>
    <w:rsid w:val="00C004F6"/>
    <w:rsid w:val="00C01763"/>
    <w:rsid w:val="00C052B6"/>
    <w:rsid w:val="00C06D38"/>
    <w:rsid w:val="00C11994"/>
    <w:rsid w:val="00C121CB"/>
    <w:rsid w:val="00C12D9C"/>
    <w:rsid w:val="00C13681"/>
    <w:rsid w:val="00C2118E"/>
    <w:rsid w:val="00C214DC"/>
    <w:rsid w:val="00C24D05"/>
    <w:rsid w:val="00C300D9"/>
    <w:rsid w:val="00C33922"/>
    <w:rsid w:val="00C35D4A"/>
    <w:rsid w:val="00C42A6A"/>
    <w:rsid w:val="00C459C0"/>
    <w:rsid w:val="00C45E94"/>
    <w:rsid w:val="00C46151"/>
    <w:rsid w:val="00C5053F"/>
    <w:rsid w:val="00C528D4"/>
    <w:rsid w:val="00C53485"/>
    <w:rsid w:val="00C55A31"/>
    <w:rsid w:val="00C5750F"/>
    <w:rsid w:val="00C67544"/>
    <w:rsid w:val="00C7186C"/>
    <w:rsid w:val="00C74638"/>
    <w:rsid w:val="00C7764B"/>
    <w:rsid w:val="00C81A15"/>
    <w:rsid w:val="00C84DEC"/>
    <w:rsid w:val="00C8574F"/>
    <w:rsid w:val="00C90E9B"/>
    <w:rsid w:val="00C90F41"/>
    <w:rsid w:val="00C926D8"/>
    <w:rsid w:val="00C94278"/>
    <w:rsid w:val="00C957BA"/>
    <w:rsid w:val="00C97850"/>
    <w:rsid w:val="00CA1A44"/>
    <w:rsid w:val="00CA3123"/>
    <w:rsid w:val="00CA5E50"/>
    <w:rsid w:val="00CB00EF"/>
    <w:rsid w:val="00CB02CD"/>
    <w:rsid w:val="00CB02E5"/>
    <w:rsid w:val="00CB0B24"/>
    <w:rsid w:val="00CB4834"/>
    <w:rsid w:val="00CB5646"/>
    <w:rsid w:val="00CB78B3"/>
    <w:rsid w:val="00CB7C1B"/>
    <w:rsid w:val="00CB7D0F"/>
    <w:rsid w:val="00CC477B"/>
    <w:rsid w:val="00CC4DEF"/>
    <w:rsid w:val="00CD18FB"/>
    <w:rsid w:val="00CD26EF"/>
    <w:rsid w:val="00CD5711"/>
    <w:rsid w:val="00CD6EA6"/>
    <w:rsid w:val="00CD734D"/>
    <w:rsid w:val="00CE05BC"/>
    <w:rsid w:val="00CE0C32"/>
    <w:rsid w:val="00CF0141"/>
    <w:rsid w:val="00CF0FF4"/>
    <w:rsid w:val="00CF18B4"/>
    <w:rsid w:val="00CF3290"/>
    <w:rsid w:val="00CF330F"/>
    <w:rsid w:val="00CF6343"/>
    <w:rsid w:val="00CF6DC2"/>
    <w:rsid w:val="00CF6E0A"/>
    <w:rsid w:val="00D01DE7"/>
    <w:rsid w:val="00D03A07"/>
    <w:rsid w:val="00D054EC"/>
    <w:rsid w:val="00D102D1"/>
    <w:rsid w:val="00D11EDF"/>
    <w:rsid w:val="00D13482"/>
    <w:rsid w:val="00D204EA"/>
    <w:rsid w:val="00D21871"/>
    <w:rsid w:val="00D24564"/>
    <w:rsid w:val="00D24704"/>
    <w:rsid w:val="00D3013E"/>
    <w:rsid w:val="00D35C15"/>
    <w:rsid w:val="00D429C5"/>
    <w:rsid w:val="00D42DCC"/>
    <w:rsid w:val="00D440EF"/>
    <w:rsid w:val="00D46B32"/>
    <w:rsid w:val="00D52E79"/>
    <w:rsid w:val="00D560A3"/>
    <w:rsid w:val="00D571CA"/>
    <w:rsid w:val="00D6025E"/>
    <w:rsid w:val="00D6037B"/>
    <w:rsid w:val="00D614AA"/>
    <w:rsid w:val="00D61A10"/>
    <w:rsid w:val="00D62579"/>
    <w:rsid w:val="00D62A54"/>
    <w:rsid w:val="00D63E3C"/>
    <w:rsid w:val="00D65761"/>
    <w:rsid w:val="00D65995"/>
    <w:rsid w:val="00D65CA2"/>
    <w:rsid w:val="00D71363"/>
    <w:rsid w:val="00D71E14"/>
    <w:rsid w:val="00D725E3"/>
    <w:rsid w:val="00D73B91"/>
    <w:rsid w:val="00D77EE4"/>
    <w:rsid w:val="00D933EA"/>
    <w:rsid w:val="00DA061D"/>
    <w:rsid w:val="00DA0D1B"/>
    <w:rsid w:val="00DA1718"/>
    <w:rsid w:val="00DA3C96"/>
    <w:rsid w:val="00DA41D3"/>
    <w:rsid w:val="00DA7395"/>
    <w:rsid w:val="00DB34FB"/>
    <w:rsid w:val="00DB5954"/>
    <w:rsid w:val="00DC0179"/>
    <w:rsid w:val="00DC019E"/>
    <w:rsid w:val="00DC049E"/>
    <w:rsid w:val="00DC2AD7"/>
    <w:rsid w:val="00DC3CEA"/>
    <w:rsid w:val="00DC4CEC"/>
    <w:rsid w:val="00DD4765"/>
    <w:rsid w:val="00DD6F38"/>
    <w:rsid w:val="00DE07B8"/>
    <w:rsid w:val="00DE2EB3"/>
    <w:rsid w:val="00DE3498"/>
    <w:rsid w:val="00DE6A4F"/>
    <w:rsid w:val="00DF29B4"/>
    <w:rsid w:val="00DF36F6"/>
    <w:rsid w:val="00DF7C52"/>
    <w:rsid w:val="00E00251"/>
    <w:rsid w:val="00E02E62"/>
    <w:rsid w:val="00E02E98"/>
    <w:rsid w:val="00E07FEB"/>
    <w:rsid w:val="00E10ACE"/>
    <w:rsid w:val="00E16CF4"/>
    <w:rsid w:val="00E20AF3"/>
    <w:rsid w:val="00E232AF"/>
    <w:rsid w:val="00E25DAA"/>
    <w:rsid w:val="00E321B8"/>
    <w:rsid w:val="00E33566"/>
    <w:rsid w:val="00E3476B"/>
    <w:rsid w:val="00E367F3"/>
    <w:rsid w:val="00E36F09"/>
    <w:rsid w:val="00E53007"/>
    <w:rsid w:val="00E5371D"/>
    <w:rsid w:val="00E5374A"/>
    <w:rsid w:val="00E6086B"/>
    <w:rsid w:val="00E619A8"/>
    <w:rsid w:val="00E62124"/>
    <w:rsid w:val="00E62563"/>
    <w:rsid w:val="00E62B01"/>
    <w:rsid w:val="00E648D3"/>
    <w:rsid w:val="00E66A4C"/>
    <w:rsid w:val="00E70501"/>
    <w:rsid w:val="00E74461"/>
    <w:rsid w:val="00E75A3F"/>
    <w:rsid w:val="00E83C35"/>
    <w:rsid w:val="00E840B5"/>
    <w:rsid w:val="00E84D26"/>
    <w:rsid w:val="00E923DD"/>
    <w:rsid w:val="00E95F9A"/>
    <w:rsid w:val="00E9757E"/>
    <w:rsid w:val="00EA1B8B"/>
    <w:rsid w:val="00EA3744"/>
    <w:rsid w:val="00EA47ED"/>
    <w:rsid w:val="00EA486C"/>
    <w:rsid w:val="00EA7E77"/>
    <w:rsid w:val="00EB061B"/>
    <w:rsid w:val="00EB1B59"/>
    <w:rsid w:val="00EB2A26"/>
    <w:rsid w:val="00EB5714"/>
    <w:rsid w:val="00EB5C41"/>
    <w:rsid w:val="00EB6772"/>
    <w:rsid w:val="00EB798C"/>
    <w:rsid w:val="00EC121A"/>
    <w:rsid w:val="00EC273B"/>
    <w:rsid w:val="00EC6588"/>
    <w:rsid w:val="00EC73BC"/>
    <w:rsid w:val="00EC73DB"/>
    <w:rsid w:val="00ED02D5"/>
    <w:rsid w:val="00ED1A74"/>
    <w:rsid w:val="00ED38B7"/>
    <w:rsid w:val="00ED52A4"/>
    <w:rsid w:val="00EE06E6"/>
    <w:rsid w:val="00EE0B40"/>
    <w:rsid w:val="00EE1856"/>
    <w:rsid w:val="00EE1C90"/>
    <w:rsid w:val="00EE4CBE"/>
    <w:rsid w:val="00EE527A"/>
    <w:rsid w:val="00EE5A9A"/>
    <w:rsid w:val="00EE7485"/>
    <w:rsid w:val="00EE76C7"/>
    <w:rsid w:val="00EF2B35"/>
    <w:rsid w:val="00EF2FA4"/>
    <w:rsid w:val="00EF367C"/>
    <w:rsid w:val="00EF539D"/>
    <w:rsid w:val="00F010C9"/>
    <w:rsid w:val="00F056C3"/>
    <w:rsid w:val="00F065F4"/>
    <w:rsid w:val="00F124AE"/>
    <w:rsid w:val="00F1325B"/>
    <w:rsid w:val="00F13D4D"/>
    <w:rsid w:val="00F14105"/>
    <w:rsid w:val="00F14647"/>
    <w:rsid w:val="00F15278"/>
    <w:rsid w:val="00F20F38"/>
    <w:rsid w:val="00F2308C"/>
    <w:rsid w:val="00F23323"/>
    <w:rsid w:val="00F25333"/>
    <w:rsid w:val="00F26E2B"/>
    <w:rsid w:val="00F340F6"/>
    <w:rsid w:val="00F34BEA"/>
    <w:rsid w:val="00F370B3"/>
    <w:rsid w:val="00F46E88"/>
    <w:rsid w:val="00F51FCB"/>
    <w:rsid w:val="00F555DB"/>
    <w:rsid w:val="00F60663"/>
    <w:rsid w:val="00F642C8"/>
    <w:rsid w:val="00F64813"/>
    <w:rsid w:val="00F64B2C"/>
    <w:rsid w:val="00F668BC"/>
    <w:rsid w:val="00F67671"/>
    <w:rsid w:val="00F67F14"/>
    <w:rsid w:val="00F708AA"/>
    <w:rsid w:val="00F70C7E"/>
    <w:rsid w:val="00F71D8A"/>
    <w:rsid w:val="00F73342"/>
    <w:rsid w:val="00F80B93"/>
    <w:rsid w:val="00F81DAC"/>
    <w:rsid w:val="00F82474"/>
    <w:rsid w:val="00F8669B"/>
    <w:rsid w:val="00F86B2C"/>
    <w:rsid w:val="00F87B26"/>
    <w:rsid w:val="00F90F37"/>
    <w:rsid w:val="00F97165"/>
    <w:rsid w:val="00F975C8"/>
    <w:rsid w:val="00FA38BF"/>
    <w:rsid w:val="00FA7324"/>
    <w:rsid w:val="00FB1118"/>
    <w:rsid w:val="00FB3339"/>
    <w:rsid w:val="00FB57D9"/>
    <w:rsid w:val="00FB5FCB"/>
    <w:rsid w:val="00FC21EE"/>
    <w:rsid w:val="00FC3505"/>
    <w:rsid w:val="00FC3CAA"/>
    <w:rsid w:val="00FC43AD"/>
    <w:rsid w:val="00FC72B0"/>
    <w:rsid w:val="00FD0BBE"/>
    <w:rsid w:val="00FD3157"/>
    <w:rsid w:val="00FD7F9E"/>
    <w:rsid w:val="00FE01AD"/>
    <w:rsid w:val="00FE16C0"/>
    <w:rsid w:val="00FE1781"/>
    <w:rsid w:val="00FE4C36"/>
    <w:rsid w:val="00FE6A39"/>
    <w:rsid w:val="00FF5574"/>
    <w:rsid w:val="01050400"/>
    <w:rsid w:val="01053EF1"/>
    <w:rsid w:val="0169255F"/>
    <w:rsid w:val="01813CB4"/>
    <w:rsid w:val="020758E4"/>
    <w:rsid w:val="02611C18"/>
    <w:rsid w:val="02E92F91"/>
    <w:rsid w:val="03920AC1"/>
    <w:rsid w:val="03962B17"/>
    <w:rsid w:val="044E4A92"/>
    <w:rsid w:val="071E71DD"/>
    <w:rsid w:val="092543A7"/>
    <w:rsid w:val="097C5723"/>
    <w:rsid w:val="098705BE"/>
    <w:rsid w:val="0A1B2946"/>
    <w:rsid w:val="0A4D7834"/>
    <w:rsid w:val="0A6944C0"/>
    <w:rsid w:val="0B081F67"/>
    <w:rsid w:val="0B0D3386"/>
    <w:rsid w:val="0B165265"/>
    <w:rsid w:val="0B73714B"/>
    <w:rsid w:val="0BA65324"/>
    <w:rsid w:val="0C391BAB"/>
    <w:rsid w:val="0C7E7891"/>
    <w:rsid w:val="0DCB077B"/>
    <w:rsid w:val="0DDE5BC0"/>
    <w:rsid w:val="0DE807C6"/>
    <w:rsid w:val="0F6368E6"/>
    <w:rsid w:val="0F8566CC"/>
    <w:rsid w:val="0FC40498"/>
    <w:rsid w:val="106A5E97"/>
    <w:rsid w:val="114A479B"/>
    <w:rsid w:val="117954F3"/>
    <w:rsid w:val="13C72BEB"/>
    <w:rsid w:val="140431B5"/>
    <w:rsid w:val="148704BD"/>
    <w:rsid w:val="148F181F"/>
    <w:rsid w:val="14A75034"/>
    <w:rsid w:val="14CF1528"/>
    <w:rsid w:val="15295CC7"/>
    <w:rsid w:val="158F4CC3"/>
    <w:rsid w:val="16165A32"/>
    <w:rsid w:val="171E6658"/>
    <w:rsid w:val="17D12858"/>
    <w:rsid w:val="18EA20B1"/>
    <w:rsid w:val="19D03316"/>
    <w:rsid w:val="1A231856"/>
    <w:rsid w:val="1A2C03AF"/>
    <w:rsid w:val="1A5354F0"/>
    <w:rsid w:val="1B447187"/>
    <w:rsid w:val="1B484A8B"/>
    <w:rsid w:val="1B53235B"/>
    <w:rsid w:val="1BCD7CDC"/>
    <w:rsid w:val="1C932ACB"/>
    <w:rsid w:val="1D5D4C75"/>
    <w:rsid w:val="1D673EC9"/>
    <w:rsid w:val="1D6A181E"/>
    <w:rsid w:val="1E494889"/>
    <w:rsid w:val="1EC41B49"/>
    <w:rsid w:val="1ED7719C"/>
    <w:rsid w:val="1F831814"/>
    <w:rsid w:val="1FCF520D"/>
    <w:rsid w:val="20BA150E"/>
    <w:rsid w:val="20EA441D"/>
    <w:rsid w:val="219E51FD"/>
    <w:rsid w:val="21E965AF"/>
    <w:rsid w:val="2352263B"/>
    <w:rsid w:val="236A74B4"/>
    <w:rsid w:val="24165B2A"/>
    <w:rsid w:val="244D37CD"/>
    <w:rsid w:val="245203D1"/>
    <w:rsid w:val="24631381"/>
    <w:rsid w:val="24783ADC"/>
    <w:rsid w:val="24F0004E"/>
    <w:rsid w:val="25784FB8"/>
    <w:rsid w:val="2584051C"/>
    <w:rsid w:val="25882356"/>
    <w:rsid w:val="25AA46D5"/>
    <w:rsid w:val="25C03F1E"/>
    <w:rsid w:val="25C553F1"/>
    <w:rsid w:val="27F91368"/>
    <w:rsid w:val="27F939A3"/>
    <w:rsid w:val="282A4D7F"/>
    <w:rsid w:val="28664C4A"/>
    <w:rsid w:val="288E13B7"/>
    <w:rsid w:val="29155A79"/>
    <w:rsid w:val="29182FDB"/>
    <w:rsid w:val="29BA5724"/>
    <w:rsid w:val="2A34666D"/>
    <w:rsid w:val="2BBC33C2"/>
    <w:rsid w:val="2C4A1048"/>
    <w:rsid w:val="2D9C0A12"/>
    <w:rsid w:val="2DC62242"/>
    <w:rsid w:val="2F3C5EE8"/>
    <w:rsid w:val="2FE25AFF"/>
    <w:rsid w:val="301C4B47"/>
    <w:rsid w:val="3081278B"/>
    <w:rsid w:val="309F2C96"/>
    <w:rsid w:val="31ED70E8"/>
    <w:rsid w:val="324F10C0"/>
    <w:rsid w:val="32CE45E4"/>
    <w:rsid w:val="334219EC"/>
    <w:rsid w:val="337A6E50"/>
    <w:rsid w:val="341D22CF"/>
    <w:rsid w:val="343D18FA"/>
    <w:rsid w:val="345F5C4B"/>
    <w:rsid w:val="347022F1"/>
    <w:rsid w:val="34836B38"/>
    <w:rsid w:val="34B024B7"/>
    <w:rsid w:val="34BF45D5"/>
    <w:rsid w:val="34E35733"/>
    <w:rsid w:val="35254AC2"/>
    <w:rsid w:val="361E2869"/>
    <w:rsid w:val="36767020"/>
    <w:rsid w:val="36773190"/>
    <w:rsid w:val="392F278A"/>
    <w:rsid w:val="393204B9"/>
    <w:rsid w:val="393C202F"/>
    <w:rsid w:val="39761F2E"/>
    <w:rsid w:val="3A1E72CA"/>
    <w:rsid w:val="3A503B6C"/>
    <w:rsid w:val="3AB57DC4"/>
    <w:rsid w:val="3AC90A90"/>
    <w:rsid w:val="3ADB6B1E"/>
    <w:rsid w:val="3B256F3E"/>
    <w:rsid w:val="3C580295"/>
    <w:rsid w:val="3CA936A0"/>
    <w:rsid w:val="3CCD5C8E"/>
    <w:rsid w:val="3D122188"/>
    <w:rsid w:val="3D3A65C8"/>
    <w:rsid w:val="3DD67E90"/>
    <w:rsid w:val="3E717AA8"/>
    <w:rsid w:val="3EA83D7C"/>
    <w:rsid w:val="3EBC6492"/>
    <w:rsid w:val="3F504768"/>
    <w:rsid w:val="3F5114C2"/>
    <w:rsid w:val="40FF1CAF"/>
    <w:rsid w:val="42206197"/>
    <w:rsid w:val="4246510C"/>
    <w:rsid w:val="424E155E"/>
    <w:rsid w:val="44306EA5"/>
    <w:rsid w:val="45282A64"/>
    <w:rsid w:val="46376A00"/>
    <w:rsid w:val="483D310B"/>
    <w:rsid w:val="484C244E"/>
    <w:rsid w:val="48E264B6"/>
    <w:rsid w:val="495B5E18"/>
    <w:rsid w:val="499E56DF"/>
    <w:rsid w:val="49F362E3"/>
    <w:rsid w:val="4A7E2D31"/>
    <w:rsid w:val="4AAE3347"/>
    <w:rsid w:val="4B2256FD"/>
    <w:rsid w:val="4C382246"/>
    <w:rsid w:val="4C4A038E"/>
    <w:rsid w:val="4D2600D6"/>
    <w:rsid w:val="4DA11C74"/>
    <w:rsid w:val="4E751A72"/>
    <w:rsid w:val="4F324192"/>
    <w:rsid w:val="4F515466"/>
    <w:rsid w:val="4FAA6C04"/>
    <w:rsid w:val="4FE60837"/>
    <w:rsid w:val="50501C85"/>
    <w:rsid w:val="512A399D"/>
    <w:rsid w:val="5171592C"/>
    <w:rsid w:val="517D35D2"/>
    <w:rsid w:val="528C4D40"/>
    <w:rsid w:val="53277DD3"/>
    <w:rsid w:val="53751808"/>
    <w:rsid w:val="54EE4C5F"/>
    <w:rsid w:val="56C0057E"/>
    <w:rsid w:val="5739244E"/>
    <w:rsid w:val="57481ED6"/>
    <w:rsid w:val="57940747"/>
    <w:rsid w:val="57F358ED"/>
    <w:rsid w:val="58B56BC7"/>
    <w:rsid w:val="58C92084"/>
    <w:rsid w:val="58D2195B"/>
    <w:rsid w:val="58DE365A"/>
    <w:rsid w:val="59FB1770"/>
    <w:rsid w:val="5A522EB2"/>
    <w:rsid w:val="5B0C2684"/>
    <w:rsid w:val="5B3B1605"/>
    <w:rsid w:val="5B481858"/>
    <w:rsid w:val="5B670294"/>
    <w:rsid w:val="5B812821"/>
    <w:rsid w:val="5BFD635B"/>
    <w:rsid w:val="5D913C69"/>
    <w:rsid w:val="5E2A24AD"/>
    <w:rsid w:val="5EAA4697"/>
    <w:rsid w:val="5F27193D"/>
    <w:rsid w:val="606958C5"/>
    <w:rsid w:val="61981C77"/>
    <w:rsid w:val="62B57B75"/>
    <w:rsid w:val="62C13E01"/>
    <w:rsid w:val="62E469E1"/>
    <w:rsid w:val="62EF6CDF"/>
    <w:rsid w:val="63E66676"/>
    <w:rsid w:val="640C5BD8"/>
    <w:rsid w:val="64AF2E59"/>
    <w:rsid w:val="6591587F"/>
    <w:rsid w:val="65E603A9"/>
    <w:rsid w:val="661615AD"/>
    <w:rsid w:val="666C71E4"/>
    <w:rsid w:val="669C6440"/>
    <w:rsid w:val="673E4405"/>
    <w:rsid w:val="67B50363"/>
    <w:rsid w:val="688376B3"/>
    <w:rsid w:val="698A7C6B"/>
    <w:rsid w:val="6BBE7FCA"/>
    <w:rsid w:val="6BCF3983"/>
    <w:rsid w:val="6C735A4D"/>
    <w:rsid w:val="6C95763E"/>
    <w:rsid w:val="6D007E81"/>
    <w:rsid w:val="6D801541"/>
    <w:rsid w:val="6DBF5957"/>
    <w:rsid w:val="6E707DED"/>
    <w:rsid w:val="6FAF1B49"/>
    <w:rsid w:val="700F3D40"/>
    <w:rsid w:val="703C49A2"/>
    <w:rsid w:val="71377899"/>
    <w:rsid w:val="71496F78"/>
    <w:rsid w:val="721D4CFD"/>
    <w:rsid w:val="724C64E5"/>
    <w:rsid w:val="73E964A2"/>
    <w:rsid w:val="74164589"/>
    <w:rsid w:val="75121086"/>
    <w:rsid w:val="75537E58"/>
    <w:rsid w:val="774B2B19"/>
    <w:rsid w:val="77F078AE"/>
    <w:rsid w:val="781E0D0B"/>
    <w:rsid w:val="78682D2D"/>
    <w:rsid w:val="793F17A1"/>
    <w:rsid w:val="799A4687"/>
    <w:rsid w:val="79B67CEC"/>
    <w:rsid w:val="7A2B1235"/>
    <w:rsid w:val="7A5C4C9C"/>
    <w:rsid w:val="7B240DA6"/>
    <w:rsid w:val="7B7F3916"/>
    <w:rsid w:val="7C1E140C"/>
    <w:rsid w:val="7C3E1D52"/>
    <w:rsid w:val="7C560E0B"/>
    <w:rsid w:val="7CA63370"/>
    <w:rsid w:val="7D583BEC"/>
    <w:rsid w:val="7DB17648"/>
    <w:rsid w:val="7E8042F3"/>
    <w:rsid w:val="7F72345D"/>
    <w:rsid w:val="7F8B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2"/>
    <w:qFormat/>
    <w:uiPriority w:val="0"/>
    <w:pPr>
      <w:jc w:val="left"/>
    </w:pPr>
  </w:style>
  <w:style w:type="paragraph" w:styleId="4">
    <w:name w:val="Body Text Indent"/>
    <w:basedOn w:val="1"/>
    <w:qFormat/>
    <w:uiPriority w:val="0"/>
    <w:pPr>
      <w:spacing w:after="120"/>
      <w:ind w:left="200" w:leftChars="200"/>
    </w:pPr>
    <w:rPr>
      <w:szCs w:val="20"/>
    </w:rPr>
  </w:style>
  <w:style w:type="paragraph" w:styleId="5">
    <w:name w:val="Balloon Text"/>
    <w:basedOn w:val="1"/>
    <w:link w:val="20"/>
    <w:qFormat/>
    <w:uiPriority w:val="0"/>
    <w:rPr>
      <w:sz w:val="18"/>
      <w:szCs w:val="18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25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0"/>
    <w:rPr>
      <w:sz w:val="24"/>
    </w:rPr>
  </w:style>
  <w:style w:type="paragraph" w:styleId="10">
    <w:name w:val="annotation subject"/>
    <w:basedOn w:val="3"/>
    <w:next w:val="3"/>
    <w:link w:val="23"/>
    <w:qFormat/>
    <w:uiPriority w:val="0"/>
    <w:rPr>
      <w:b/>
      <w:bCs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20"/>
    <w:rPr>
      <w:i/>
      <w:iCs/>
    </w:rPr>
  </w:style>
  <w:style w:type="character" w:styleId="16">
    <w:name w:val="annotation reference"/>
    <w:basedOn w:val="13"/>
    <w:qFormat/>
    <w:uiPriority w:val="0"/>
    <w:rPr>
      <w:sz w:val="21"/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8">
    <w:name w:val="页眉 Char"/>
    <w:link w:val="7"/>
    <w:qFormat/>
    <w:uiPriority w:val="0"/>
    <w:rPr>
      <w:kern w:val="2"/>
      <w:sz w:val="18"/>
      <w:szCs w:val="18"/>
    </w:rPr>
  </w:style>
  <w:style w:type="character" w:customStyle="1" w:styleId="19">
    <w:name w:val="页脚 Char"/>
    <w:link w:val="6"/>
    <w:qFormat/>
    <w:uiPriority w:val="0"/>
    <w:rPr>
      <w:kern w:val="2"/>
      <w:sz w:val="18"/>
      <w:szCs w:val="18"/>
    </w:rPr>
  </w:style>
  <w:style w:type="character" w:customStyle="1" w:styleId="20">
    <w:name w:val="批注框文本 Char"/>
    <w:link w:val="5"/>
    <w:qFormat/>
    <w:uiPriority w:val="0"/>
    <w:rPr>
      <w:kern w:val="2"/>
      <w:sz w:val="18"/>
      <w:szCs w:val="18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2">
    <w:name w:val="批注文字 Char"/>
    <w:basedOn w:val="13"/>
    <w:link w:val="3"/>
    <w:qFormat/>
    <w:uiPriority w:val="0"/>
    <w:rPr>
      <w:kern w:val="2"/>
      <w:sz w:val="21"/>
      <w:szCs w:val="24"/>
    </w:rPr>
  </w:style>
  <w:style w:type="character" w:customStyle="1" w:styleId="23">
    <w:name w:val="批注主题 Char"/>
    <w:basedOn w:val="22"/>
    <w:link w:val="10"/>
    <w:qFormat/>
    <w:uiPriority w:val="0"/>
    <w:rPr>
      <w:b/>
      <w:bCs/>
      <w:kern w:val="2"/>
      <w:sz w:val="21"/>
      <w:szCs w:val="24"/>
    </w:rPr>
  </w:style>
  <w:style w:type="character" w:customStyle="1" w:styleId="24">
    <w:name w:val="标题 3 Char"/>
    <w:basedOn w:val="13"/>
    <w:link w:val="2"/>
    <w:qFormat/>
    <w:uiPriority w:val="9"/>
    <w:rPr>
      <w:rFonts w:ascii="宋体" w:hAnsi="宋体" w:cs="宋体"/>
      <w:b/>
      <w:bCs/>
      <w:sz w:val="27"/>
      <w:szCs w:val="27"/>
    </w:rPr>
  </w:style>
  <w:style w:type="character" w:customStyle="1" w:styleId="25">
    <w:name w:val="HTML 预设格式 Char"/>
    <w:basedOn w:val="13"/>
    <w:link w:val="8"/>
    <w:qFormat/>
    <w:uiPriority w:val="99"/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2D9CAA-7A53-41E3-BB53-43961C741E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szse</Company>
  <Pages>3</Pages>
  <Words>246</Words>
  <Characters>1406</Characters>
  <Lines>11</Lines>
  <Paragraphs>3</Paragraphs>
  <TotalTime>21</TotalTime>
  <ScaleCrop>false</ScaleCrop>
  <LinksUpToDate>false</LinksUpToDate>
  <CharactersWithSpaces>1649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2019-12-04T01:11:00Z</dcterms:created>
  <dc:creator>肖金锋</dc:creator>
  <cp:lastModifiedBy>未</cp:lastModifiedBy>
  <cp:lastPrinted>2019-11-20T11:06:00Z</cp:lastPrinted>
  <dcterms:modified xsi:type="dcterms:W3CDTF">2020-03-20T11:53:07Z</dcterms:modified>
  <dc:title>关于发布《信息披露业务备忘录第41号——投资者关系管理及其信息披露》的通知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