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宋体" w:hAnsi="宋体"/>
          <w:bCs/>
          <w:iCs/>
          <w:color w:val="000000" w:themeColor="text1"/>
          <w:sz w:val="24"/>
          <w14:textFill>
            <w14:solidFill>
              <w14:schemeClr w14:val="tx1"/>
            </w14:solidFill>
          </w14:textFill>
        </w:rPr>
      </w:pPr>
      <w:r>
        <w:rPr>
          <w:rFonts w:hint="eastAsia" w:ascii="宋体" w:hAnsi="宋体"/>
          <w:bCs/>
          <w:iCs/>
          <w:color w:val="000000" w:themeColor="text1"/>
          <w:sz w:val="24"/>
          <w14:textFill>
            <w14:solidFill>
              <w14:schemeClr w14:val="tx1"/>
            </w14:solidFill>
          </w14:textFill>
        </w:rPr>
        <w:t>证券代码：002013                                   证券简称：中航机电</w:t>
      </w:r>
    </w:p>
    <w:p>
      <w:pPr>
        <w:spacing w:before="156" w:beforeLines="50" w:after="156" w:afterLines="50" w:line="400" w:lineRule="exact"/>
        <w:jc w:val="center"/>
        <w:rPr>
          <w:rFonts w:ascii="宋体" w:hAnsi="宋体"/>
          <w:b/>
          <w:bCs/>
          <w:iCs/>
          <w:color w:val="000000" w:themeColor="text1"/>
          <w:sz w:val="30"/>
          <w:szCs w:val="30"/>
          <w14:textFill>
            <w14:solidFill>
              <w14:schemeClr w14:val="tx1"/>
            </w14:solidFill>
          </w14:textFill>
        </w:rPr>
      </w:pPr>
      <w:r>
        <w:rPr>
          <w:rFonts w:hint="eastAsia" w:ascii="宋体" w:hAnsi="宋体"/>
          <w:b/>
          <w:bCs/>
          <w:iCs/>
          <w:color w:val="000000" w:themeColor="text1"/>
          <w:sz w:val="30"/>
          <w:szCs w:val="30"/>
          <w14:textFill>
            <w14:solidFill>
              <w14:schemeClr w14:val="tx1"/>
            </w14:solidFill>
          </w14:textFill>
        </w:rPr>
        <w:t>中航工业机电系统股份有限公司</w:t>
      </w:r>
    </w:p>
    <w:p>
      <w:pPr>
        <w:spacing w:before="156" w:beforeLines="50" w:after="156" w:afterLines="50" w:line="400" w:lineRule="exact"/>
        <w:jc w:val="center"/>
        <w:rPr>
          <w:rFonts w:ascii="宋体" w:hAnsi="宋体"/>
          <w:b/>
          <w:bCs/>
          <w:iCs/>
          <w:color w:val="000000" w:themeColor="text1"/>
          <w:sz w:val="30"/>
          <w:szCs w:val="30"/>
          <w14:textFill>
            <w14:solidFill>
              <w14:schemeClr w14:val="tx1"/>
            </w14:solidFill>
          </w14:textFill>
        </w:rPr>
      </w:pPr>
      <w:r>
        <w:rPr>
          <w:rFonts w:hint="eastAsia" w:ascii="宋体" w:hAnsi="宋体"/>
          <w:b/>
          <w:bCs/>
          <w:iCs/>
          <w:color w:val="000000" w:themeColor="text1"/>
          <w:sz w:val="30"/>
          <w:szCs w:val="30"/>
          <w14:textFill>
            <w14:solidFill>
              <w14:schemeClr w14:val="tx1"/>
            </w14:solidFill>
          </w14:textFill>
        </w:rPr>
        <w:t>投资者关系活动记录表</w:t>
      </w:r>
    </w:p>
    <w:p>
      <w:pPr>
        <w:spacing w:line="400" w:lineRule="exact"/>
        <w:rPr>
          <w:rFonts w:hint="eastAsia" w:ascii="宋体" w:hAnsi="宋体" w:eastAsia="宋体"/>
          <w:bCs/>
          <w:iCs/>
          <w:color w:val="000000" w:themeColor="text1"/>
          <w:sz w:val="24"/>
          <w:szCs w:val="24"/>
          <w:lang w:eastAsia="zh-CN"/>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 xml:space="preserve">                                                      编号：2020-00</w:t>
      </w:r>
      <w:r>
        <w:rPr>
          <w:rFonts w:hint="eastAsia" w:ascii="宋体" w:hAnsi="宋体"/>
          <w:bCs/>
          <w:iCs/>
          <w:color w:val="000000" w:themeColor="text1"/>
          <w:sz w:val="24"/>
          <w:szCs w:val="24"/>
          <w:lang w:val="en-US" w:eastAsia="zh-CN"/>
          <w14:textFill>
            <w14:solidFill>
              <w14:schemeClr w14:val="tx1"/>
            </w14:solidFill>
          </w14:textFill>
        </w:rPr>
        <w:t>4</w:t>
      </w:r>
    </w:p>
    <w:tbl>
      <w:tblPr>
        <w:tblStyle w:val="6"/>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shd w:val="clear" w:color="auto" w:fill="auto"/>
          </w:tcPr>
          <w:p>
            <w:pPr>
              <w:spacing w:line="480" w:lineRule="atLeast"/>
              <w:jc w:val="center"/>
              <w:rPr>
                <w:rFonts w:ascii="宋体" w:hAnsi="宋体"/>
                <w:b/>
                <w:bCs/>
                <w:iCs/>
                <w:color w:val="000000" w:themeColor="text1"/>
                <w:sz w:val="24"/>
                <w:szCs w:val="24"/>
                <w14:textFill>
                  <w14:solidFill>
                    <w14:schemeClr w14:val="tx1"/>
                  </w14:solidFill>
                </w14:textFill>
              </w:rPr>
            </w:pPr>
            <w:r>
              <w:rPr>
                <w:rFonts w:hint="eastAsia" w:ascii="宋体" w:hAnsi="宋体"/>
                <w:b/>
                <w:bCs/>
                <w:iCs/>
                <w:color w:val="000000" w:themeColor="text1"/>
                <w:sz w:val="24"/>
                <w:szCs w:val="24"/>
                <w14:textFill>
                  <w14:solidFill>
                    <w14:schemeClr w14:val="tx1"/>
                  </w14:solidFill>
                </w14:textFill>
              </w:rPr>
              <w:t>投资者关系活动类别</w:t>
            </w:r>
          </w:p>
          <w:p>
            <w:pPr>
              <w:spacing w:line="480" w:lineRule="atLeast"/>
              <w:jc w:val="center"/>
              <w:rPr>
                <w:rFonts w:ascii="宋体" w:hAnsi="宋体"/>
                <w:b/>
                <w:bCs/>
                <w:iCs/>
                <w:color w:val="000000" w:themeColor="text1"/>
                <w:sz w:val="24"/>
                <w:szCs w:val="24"/>
                <w14:textFill>
                  <w14:solidFill>
                    <w14:schemeClr w14:val="tx1"/>
                  </w14:solidFill>
                </w14:textFill>
              </w:rPr>
            </w:pPr>
          </w:p>
        </w:tc>
        <w:tc>
          <w:tcPr>
            <w:tcW w:w="8080" w:type="dxa"/>
            <w:shd w:val="clear" w:color="auto" w:fill="auto"/>
          </w:tcPr>
          <w:p>
            <w:pPr>
              <w:spacing w:line="480" w:lineRule="atLeas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sym w:font="Wingdings 2" w:char="0052"/>
            </w:r>
            <w:r>
              <w:rPr>
                <w:rFonts w:hint="eastAsia" w:ascii="宋体" w:hAnsi="宋体"/>
                <w:color w:val="000000" w:themeColor="text1"/>
                <w:sz w:val="24"/>
                <w:szCs w:val="24"/>
                <w14:textFill>
                  <w14:solidFill>
                    <w14:schemeClr w14:val="tx1"/>
                  </w14:solidFill>
                </w14:textFill>
              </w:rPr>
              <w:t xml:space="preserve">特定对象调研        </w:t>
            </w:r>
            <w:r>
              <w:rPr>
                <w:rFonts w:hint="eastAsia" w:ascii="宋体" w:hAnsi="宋体"/>
                <w:bCs/>
                <w:iCs/>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分析师会议</w:t>
            </w:r>
          </w:p>
          <w:p>
            <w:pPr>
              <w:spacing w:line="480" w:lineRule="atLeas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 xml:space="preserve">媒体采访            </w:t>
            </w:r>
            <w:r>
              <w:rPr>
                <w:rFonts w:hint="eastAsia" w:ascii="宋体" w:hAnsi="宋体"/>
                <w:bCs/>
                <w:iCs/>
                <w:color w:val="000000" w:themeColor="text1"/>
                <w:sz w:val="24"/>
                <w:szCs w:val="24"/>
                <w14:textFill>
                  <w14:solidFill>
                    <w14:schemeClr w14:val="tx1"/>
                  </w14:solidFill>
                </w14:textFill>
              </w:rPr>
              <w:sym w:font="Wingdings 2" w:char="00A3"/>
            </w:r>
            <w:r>
              <w:rPr>
                <w:rFonts w:hint="eastAsia" w:ascii="宋体" w:hAnsi="宋体"/>
                <w:color w:val="000000" w:themeColor="text1"/>
                <w:sz w:val="24"/>
                <w:szCs w:val="24"/>
                <w14:textFill>
                  <w14:solidFill>
                    <w14:schemeClr w14:val="tx1"/>
                  </w14:solidFill>
                </w14:textFill>
              </w:rPr>
              <w:t>业绩说明会</w:t>
            </w:r>
          </w:p>
          <w:p>
            <w:pPr>
              <w:spacing w:line="480" w:lineRule="atLeas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 xml:space="preserve">新闻发布会          </w:t>
            </w:r>
            <w:r>
              <w:rPr>
                <w:rFonts w:hint="eastAsia" w:ascii="宋体" w:hAnsi="宋体"/>
                <w:bCs/>
                <w:iCs/>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路演活动</w:t>
            </w:r>
          </w:p>
          <w:p>
            <w:pPr>
              <w:tabs>
                <w:tab w:val="left" w:pos="3045"/>
                <w:tab w:val="center" w:pos="3199"/>
              </w:tabs>
              <w:spacing w:line="480" w:lineRule="atLeas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现场参观</w:t>
            </w:r>
            <w:r>
              <w:rPr>
                <w:rFonts w:ascii="宋体" w:hAnsi="宋体"/>
                <w:bCs/>
                <w:iCs/>
                <w:color w:val="000000" w:themeColor="text1"/>
                <w:sz w:val="24"/>
                <w:szCs w:val="24"/>
                <w14:textFill>
                  <w14:solidFill>
                    <w14:schemeClr w14:val="tx1"/>
                  </w14:solidFill>
                </w14:textFill>
              </w:rPr>
              <w:tab/>
            </w:r>
          </w:p>
          <w:p>
            <w:pPr>
              <w:tabs>
                <w:tab w:val="center" w:pos="3199"/>
              </w:tabs>
              <w:spacing w:line="480" w:lineRule="atLeas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其他 （</w:t>
            </w:r>
            <w:r>
              <w:rPr>
                <w:rFonts w:hint="eastAsia" w:ascii="宋体" w:hAnsi="宋体"/>
                <w:color w:val="000000" w:themeColor="text1"/>
                <w:sz w:val="24"/>
                <w:szCs w:val="24"/>
                <w:u w:val="single"/>
                <w14:textFill>
                  <w14:solidFill>
                    <w14:schemeClr w14:val="tx1"/>
                  </w14:solidFill>
                </w14:textFill>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shd w:val="clear" w:color="auto" w:fill="auto"/>
          </w:tcPr>
          <w:p>
            <w:pPr>
              <w:spacing w:line="480" w:lineRule="atLeast"/>
              <w:jc w:val="center"/>
              <w:rPr>
                <w:rFonts w:ascii="宋体" w:hAnsi="宋体"/>
                <w:b/>
                <w:bCs/>
                <w:iCs/>
                <w:color w:val="000000" w:themeColor="text1"/>
                <w:sz w:val="24"/>
                <w:szCs w:val="24"/>
                <w14:textFill>
                  <w14:solidFill>
                    <w14:schemeClr w14:val="tx1"/>
                  </w14:solidFill>
                </w14:textFill>
              </w:rPr>
            </w:pPr>
            <w:r>
              <w:rPr>
                <w:rFonts w:hint="eastAsia" w:ascii="宋体" w:hAnsi="宋体"/>
                <w:b/>
                <w:bCs/>
                <w:iCs/>
                <w:color w:val="000000" w:themeColor="text1"/>
                <w:sz w:val="24"/>
                <w:szCs w:val="24"/>
                <w14:textFill>
                  <w14:solidFill>
                    <w14:schemeClr w14:val="tx1"/>
                  </w14:solidFill>
                </w14:textFill>
              </w:rPr>
              <w:t>参与单位名称及人员姓名</w:t>
            </w:r>
          </w:p>
        </w:tc>
        <w:tc>
          <w:tcPr>
            <w:tcW w:w="8080" w:type="dxa"/>
            <w:shd w:val="clear" w:color="auto" w:fill="auto"/>
            <w:vAlign w:val="center"/>
          </w:tcPr>
          <w:p>
            <w:pPr>
              <w:spacing w:line="480" w:lineRule="atLeast"/>
              <w:jc w:val="lef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兴业证券：石康、丁志刚、李雅哲；鹏华基金：柳黎；长盛基金：郭堃；</w:t>
            </w:r>
          </w:p>
          <w:p>
            <w:pPr>
              <w:spacing w:line="480" w:lineRule="atLeast"/>
              <w:jc w:val="lef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上海光大：刘宇晨；上海高毅：周洪伟；东海基金：杨红；中信建投：杨广；中信资管：孙曙光；中海基金：陈思远；淡水泉(北京)投资：董怡；</w:t>
            </w:r>
          </w:p>
          <w:p>
            <w:pPr>
              <w:spacing w:line="480" w:lineRule="atLeast"/>
              <w:jc w:val="lef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中航基金：关健鑫；中邮基金：徐鸿博、杨欢；中金证券：王鑫一；</w:t>
            </w:r>
          </w:p>
          <w:p>
            <w:pPr>
              <w:spacing w:line="480" w:lineRule="atLeast"/>
              <w:jc w:val="lef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交银康联：蒋宁；人保资产：田垒；仁桥资产：夏俊杰、李晓青；</w:t>
            </w:r>
          </w:p>
          <w:p>
            <w:pPr>
              <w:spacing w:line="480" w:lineRule="atLeast"/>
              <w:jc w:val="lef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元昊投资：柴逸飞；光大资管：丁瑾；华创证券：卫哲；招商证券：王超；</w:t>
            </w:r>
          </w:p>
          <w:p>
            <w:pPr>
              <w:spacing w:line="480" w:lineRule="atLeast"/>
              <w:jc w:val="lef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安信证券：花超；天风证券：许利天、张明伟；农银汇理：鞠英利；</w:t>
            </w:r>
          </w:p>
          <w:p>
            <w:pPr>
              <w:spacing w:line="480" w:lineRule="atLeast"/>
              <w:jc w:val="lef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凯石基金：赵晨凯；华商基金：童立；华夏基金：王晓李；南山银行：朱巧；</w:t>
            </w:r>
          </w:p>
          <w:p>
            <w:pPr>
              <w:spacing w:line="480" w:lineRule="atLeast"/>
              <w:jc w:val="lef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南方基金：邹承原；博时基金：吴文庆；嘉实基金：谢泽林、张宇驰；</w:t>
            </w:r>
          </w:p>
          <w:p>
            <w:pPr>
              <w:spacing w:line="480" w:lineRule="atLeast"/>
              <w:jc w:val="left"/>
              <w:rPr>
                <w:rFonts w:ascii="宋体" w:hAnsi="宋体"/>
                <w:bCs/>
                <w:iCs/>
                <w:color w:val="000000" w:themeColor="text1"/>
                <w:sz w:val="24"/>
                <w:szCs w:val="24"/>
                <w14:textFill>
                  <w14:solidFill>
                    <w14:schemeClr w14:val="tx1"/>
                  </w14:solidFill>
                </w14:textFill>
              </w:rPr>
            </w:pPr>
            <w:r>
              <w:rPr>
                <w:rFonts w:ascii="宋体" w:hAnsi="宋体"/>
                <w:bCs/>
                <w:iCs/>
                <w:color w:val="000000" w:themeColor="text1"/>
                <w:sz w:val="24"/>
                <w:szCs w:val="24"/>
                <w14:textFill>
                  <w14:solidFill>
                    <w14:schemeClr w14:val="tx1"/>
                  </w14:solidFill>
                </w14:textFill>
              </w:rPr>
              <w:t>国信证券</w:t>
            </w:r>
            <w:r>
              <w:rPr>
                <w:rFonts w:hint="eastAsia" w:ascii="宋体" w:hAnsi="宋体"/>
                <w:bCs/>
                <w:iCs/>
                <w:color w:val="000000" w:themeColor="text1"/>
                <w:sz w:val="24"/>
                <w:szCs w:val="24"/>
                <w14:textFill>
                  <w14:solidFill>
                    <w14:schemeClr w14:val="tx1"/>
                  </w14:solidFill>
                </w14:textFill>
              </w:rPr>
              <w:t>：何东伟；国投瑞银：马少章；</w:t>
            </w:r>
            <w:r>
              <w:rPr>
                <w:rFonts w:ascii="宋体" w:hAnsi="宋体"/>
                <w:bCs/>
                <w:iCs/>
                <w:color w:val="000000" w:themeColor="text1"/>
                <w:sz w:val="24"/>
                <w:szCs w:val="24"/>
                <w14:textFill>
                  <w14:solidFill>
                    <w14:schemeClr w14:val="tx1"/>
                  </w14:solidFill>
                </w14:textFill>
              </w:rPr>
              <w:t>大家资产</w:t>
            </w:r>
            <w:r>
              <w:rPr>
                <w:rFonts w:hint="eastAsia" w:ascii="宋体" w:hAnsi="宋体"/>
                <w:bCs/>
                <w:iCs/>
                <w:color w:val="000000" w:themeColor="text1"/>
                <w:sz w:val="24"/>
                <w:szCs w:val="24"/>
                <w14:textFill>
                  <w14:solidFill>
                    <w14:schemeClr w14:val="tx1"/>
                  </w14:solidFill>
                </w14:textFill>
              </w:rPr>
              <w:t>：刘磊、周莹；大成基金：肖文瀚；宝盈基金：王尚博；诺德基金：朱红；；国联安基金：刘佃贵；</w:t>
            </w:r>
          </w:p>
          <w:p>
            <w:pPr>
              <w:spacing w:line="480" w:lineRule="atLeast"/>
              <w:jc w:val="left"/>
              <w:rPr>
                <w:rFonts w:ascii="宋体" w:hAnsi="宋体"/>
                <w:bCs/>
                <w:iCs/>
                <w:color w:val="000000" w:themeColor="text1"/>
                <w:sz w:val="24"/>
                <w:szCs w:val="24"/>
                <w14:textFill>
                  <w14:solidFill>
                    <w14:schemeClr w14:val="tx1"/>
                  </w14:solidFill>
                </w14:textFill>
              </w:rPr>
            </w:pPr>
            <w:r>
              <w:rPr>
                <w:rFonts w:ascii="宋体" w:hAnsi="宋体"/>
                <w:bCs/>
                <w:iCs/>
                <w:color w:val="000000" w:themeColor="text1"/>
                <w:sz w:val="24"/>
                <w:szCs w:val="24"/>
                <w14:textFill>
                  <w14:solidFill>
                    <w14:schemeClr w14:val="tx1"/>
                  </w14:solidFill>
                </w14:textFill>
              </w:rPr>
              <w:t>平安资产</w:t>
            </w:r>
            <w:r>
              <w:rPr>
                <w:rFonts w:hint="eastAsia" w:ascii="宋体" w:hAnsi="宋体"/>
                <w:bCs/>
                <w:iCs/>
                <w:color w:val="000000" w:themeColor="text1"/>
                <w:sz w:val="24"/>
                <w:szCs w:val="24"/>
                <w14:textFill>
                  <w14:solidFill>
                    <w14:schemeClr w14:val="tx1"/>
                  </w14:solidFill>
                </w14:textFill>
              </w:rPr>
              <w:t>：孟可；广发资管：真怡；开源证券：黄钊；德邦自营：杨宇南；</w:t>
            </w:r>
          </w:p>
          <w:p>
            <w:pPr>
              <w:spacing w:line="480" w:lineRule="atLeast"/>
              <w:jc w:val="left"/>
              <w:rPr>
                <w:rFonts w:ascii="宋体" w:hAnsi="宋体"/>
                <w:bCs/>
                <w:iCs/>
                <w:color w:val="000000" w:themeColor="text1"/>
                <w:sz w:val="24"/>
                <w:szCs w:val="24"/>
                <w14:textFill>
                  <w14:solidFill>
                    <w14:schemeClr w14:val="tx1"/>
                  </w14:solidFill>
                </w14:textFill>
              </w:rPr>
            </w:pPr>
            <w:r>
              <w:rPr>
                <w:rFonts w:ascii="宋体" w:hAnsi="宋体"/>
                <w:bCs/>
                <w:iCs/>
                <w:color w:val="000000" w:themeColor="text1"/>
                <w:sz w:val="24"/>
                <w:szCs w:val="24"/>
                <w14:textFill>
                  <w14:solidFill>
                    <w14:schemeClr w14:val="tx1"/>
                  </w14:solidFill>
                </w14:textFill>
              </w:rPr>
              <w:t>新华基金</w:t>
            </w:r>
            <w:r>
              <w:rPr>
                <w:rFonts w:hint="eastAsia" w:ascii="宋体" w:hAnsi="宋体"/>
                <w:bCs/>
                <w:iCs/>
                <w:color w:val="000000" w:themeColor="text1"/>
                <w:sz w:val="24"/>
                <w:szCs w:val="24"/>
                <w14:textFill>
                  <w14:solidFill>
                    <w14:schemeClr w14:val="tx1"/>
                  </w14:solidFill>
                </w14:textFill>
              </w:rPr>
              <w:t>：周晓东；新沃基金：陈阳；方圆基金：董丰侨、陈方泽；</w:t>
            </w:r>
          </w:p>
          <w:p>
            <w:pPr>
              <w:spacing w:line="480" w:lineRule="atLeast"/>
              <w:jc w:val="left"/>
              <w:rPr>
                <w:rFonts w:ascii="宋体" w:hAnsi="宋体"/>
                <w:bCs/>
                <w:iCs/>
                <w:color w:val="000000" w:themeColor="text1"/>
                <w:sz w:val="24"/>
                <w:szCs w:val="24"/>
                <w14:textFill>
                  <w14:solidFill>
                    <w14:schemeClr w14:val="tx1"/>
                  </w14:solidFill>
                </w14:textFill>
              </w:rPr>
            </w:pPr>
            <w:r>
              <w:rPr>
                <w:rFonts w:ascii="宋体" w:hAnsi="宋体"/>
                <w:bCs/>
                <w:iCs/>
                <w:color w:val="000000" w:themeColor="text1"/>
                <w:sz w:val="24"/>
                <w:szCs w:val="24"/>
                <w14:textFill>
                  <w14:solidFill>
                    <w14:schemeClr w14:val="tx1"/>
                  </w14:solidFill>
                </w14:textFill>
              </w:rPr>
              <w:t>易方达基金</w:t>
            </w:r>
            <w:r>
              <w:rPr>
                <w:rFonts w:hint="eastAsia" w:ascii="宋体" w:hAnsi="宋体"/>
                <w:bCs/>
                <w:iCs/>
                <w:color w:val="000000" w:themeColor="text1"/>
                <w:sz w:val="24"/>
                <w:szCs w:val="24"/>
                <w14:textFill>
                  <w14:solidFill>
                    <w14:schemeClr w14:val="tx1"/>
                  </w14:solidFill>
                </w14:textFill>
              </w:rPr>
              <w:t>：何崇恺；民生加银：李君海、金耀；禾永投资：焦云；</w:t>
            </w:r>
          </w:p>
          <w:p>
            <w:pPr>
              <w:spacing w:line="480" w:lineRule="atLeast"/>
              <w:jc w:val="lef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汇添富基金：卞正、赵鹏飞；泰康资产：段中喆；源乘投资：李婷婷；</w:t>
            </w:r>
          </w:p>
          <w:p>
            <w:pPr>
              <w:spacing w:line="480" w:lineRule="atLeast"/>
              <w:jc w:val="lef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申万宏源：王蕊；碧云资本：高新宇；诺安基金：李迪光，夏俊杰；</w:t>
            </w:r>
          </w:p>
          <w:p>
            <w:pPr>
              <w:spacing w:line="480" w:lineRule="atLeast"/>
              <w:jc w:val="lef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东北证券：刘中玉、胡露；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418" w:type="dxa"/>
            <w:shd w:val="clear" w:color="auto" w:fill="auto"/>
            <w:vAlign w:val="center"/>
          </w:tcPr>
          <w:p>
            <w:pPr>
              <w:spacing w:line="480" w:lineRule="atLeast"/>
              <w:jc w:val="center"/>
              <w:rPr>
                <w:rFonts w:ascii="宋体" w:hAnsi="宋体"/>
                <w:b/>
                <w:bCs/>
                <w:iCs/>
                <w:color w:val="000000" w:themeColor="text1"/>
                <w:sz w:val="24"/>
                <w:szCs w:val="24"/>
                <w14:textFill>
                  <w14:solidFill>
                    <w14:schemeClr w14:val="tx1"/>
                  </w14:solidFill>
                </w14:textFill>
              </w:rPr>
            </w:pPr>
            <w:r>
              <w:rPr>
                <w:rFonts w:hint="eastAsia" w:ascii="宋体" w:hAnsi="宋体"/>
                <w:b/>
                <w:bCs/>
                <w:iCs/>
                <w:color w:val="000000" w:themeColor="text1"/>
                <w:sz w:val="24"/>
                <w:szCs w:val="24"/>
                <w14:textFill>
                  <w14:solidFill>
                    <w14:schemeClr w14:val="tx1"/>
                  </w14:solidFill>
                </w14:textFill>
              </w:rPr>
              <w:t>时间</w:t>
            </w:r>
          </w:p>
        </w:tc>
        <w:tc>
          <w:tcPr>
            <w:tcW w:w="8080" w:type="dxa"/>
            <w:shd w:val="clear" w:color="auto" w:fill="auto"/>
            <w:vAlign w:val="center"/>
          </w:tcPr>
          <w:p>
            <w:pPr>
              <w:spacing w:line="480" w:lineRule="atLeast"/>
              <w:rPr>
                <w:bCs/>
                <w:iCs/>
                <w:color w:val="000000" w:themeColor="text1"/>
                <w:sz w:val="24"/>
                <w:szCs w:val="24"/>
                <w14:textFill>
                  <w14:solidFill>
                    <w14:schemeClr w14:val="tx1"/>
                  </w14:solidFill>
                </w14:textFill>
              </w:rPr>
            </w:pPr>
            <w:r>
              <w:rPr>
                <w:bCs/>
                <w:iCs/>
                <w:color w:val="000000" w:themeColor="text1"/>
                <w:sz w:val="24"/>
                <w:szCs w:val="24"/>
                <w14:textFill>
                  <w14:solidFill>
                    <w14:schemeClr w14:val="tx1"/>
                  </w14:solidFill>
                </w14:textFill>
              </w:rPr>
              <w:t>20</w:t>
            </w:r>
            <w:r>
              <w:rPr>
                <w:rFonts w:hint="eastAsia"/>
                <w:bCs/>
                <w:iCs/>
                <w:color w:val="000000" w:themeColor="text1"/>
                <w:sz w:val="24"/>
                <w:szCs w:val="24"/>
                <w14:textFill>
                  <w14:solidFill>
                    <w14:schemeClr w14:val="tx1"/>
                  </w14:solidFill>
                </w14:textFill>
              </w:rPr>
              <w:t>20</w:t>
            </w:r>
            <w:r>
              <w:rPr>
                <w:rFonts w:hAnsi="宋体"/>
                <w:bCs/>
                <w:iCs/>
                <w:color w:val="000000" w:themeColor="text1"/>
                <w:sz w:val="24"/>
                <w:szCs w:val="24"/>
                <w14:textFill>
                  <w14:solidFill>
                    <w14:schemeClr w14:val="tx1"/>
                  </w14:solidFill>
                </w14:textFill>
              </w:rPr>
              <w:t>年</w:t>
            </w:r>
            <w:r>
              <w:rPr>
                <w:rFonts w:hint="eastAsia"/>
                <w:bCs/>
                <w:iCs/>
                <w:color w:val="000000" w:themeColor="text1"/>
                <w:sz w:val="24"/>
                <w:szCs w:val="24"/>
                <w14:textFill>
                  <w14:solidFill>
                    <w14:schemeClr w14:val="tx1"/>
                  </w14:solidFill>
                </w14:textFill>
              </w:rPr>
              <w:t>3</w:t>
            </w:r>
            <w:r>
              <w:rPr>
                <w:rFonts w:hAnsi="宋体"/>
                <w:bCs/>
                <w:iCs/>
                <w:color w:val="000000" w:themeColor="text1"/>
                <w:sz w:val="24"/>
                <w:szCs w:val="24"/>
                <w14:textFill>
                  <w14:solidFill>
                    <w14:schemeClr w14:val="tx1"/>
                  </w14:solidFill>
                </w14:textFill>
              </w:rPr>
              <w:t>月</w:t>
            </w:r>
            <w:r>
              <w:rPr>
                <w:rFonts w:hint="eastAsia"/>
                <w:bCs/>
                <w:iCs/>
                <w:color w:val="000000" w:themeColor="text1"/>
                <w:sz w:val="24"/>
                <w:szCs w:val="24"/>
                <w14:textFill>
                  <w14:solidFill>
                    <w14:schemeClr w14:val="tx1"/>
                  </w14:solidFill>
                </w14:textFill>
              </w:rPr>
              <w:t>30</w:t>
            </w:r>
            <w:r>
              <w:rPr>
                <w:rFonts w:hint="eastAsia" w:hAnsi="宋体"/>
                <w:bCs/>
                <w:iCs/>
                <w:color w:val="000000" w:themeColor="text1"/>
                <w:sz w:val="24"/>
                <w:szCs w:val="24"/>
                <w14:textFill>
                  <w14:solidFill>
                    <w14:schemeClr w14:val="tx1"/>
                  </w14:solidFill>
                </w14:textFill>
              </w:rPr>
              <w:t>日20</w:t>
            </w:r>
            <w:r>
              <w:rPr>
                <w:rFonts w:hAnsi="宋体"/>
                <w:bCs/>
                <w:iCs/>
                <w:color w:val="000000" w:themeColor="text1"/>
                <w:sz w:val="24"/>
                <w:szCs w:val="24"/>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418" w:type="dxa"/>
            <w:shd w:val="clear" w:color="auto" w:fill="auto"/>
            <w:vAlign w:val="center"/>
          </w:tcPr>
          <w:p>
            <w:pPr>
              <w:spacing w:line="480" w:lineRule="atLeast"/>
              <w:jc w:val="center"/>
              <w:rPr>
                <w:rFonts w:ascii="宋体" w:hAnsi="宋体"/>
                <w:b/>
                <w:bCs/>
                <w:iCs/>
                <w:color w:val="000000" w:themeColor="text1"/>
                <w:sz w:val="24"/>
                <w:szCs w:val="24"/>
                <w14:textFill>
                  <w14:solidFill>
                    <w14:schemeClr w14:val="tx1"/>
                  </w14:solidFill>
                </w14:textFill>
              </w:rPr>
            </w:pPr>
            <w:r>
              <w:rPr>
                <w:rFonts w:hint="eastAsia" w:ascii="宋体" w:hAnsi="宋体"/>
                <w:b/>
                <w:bCs/>
                <w:iCs/>
                <w:color w:val="000000" w:themeColor="text1"/>
                <w:sz w:val="24"/>
                <w:szCs w:val="24"/>
                <w14:textFill>
                  <w14:solidFill>
                    <w14:schemeClr w14:val="tx1"/>
                  </w14:solidFill>
                </w14:textFill>
              </w:rPr>
              <w:t>地点</w:t>
            </w:r>
          </w:p>
        </w:tc>
        <w:tc>
          <w:tcPr>
            <w:tcW w:w="8080" w:type="dxa"/>
            <w:shd w:val="clear" w:color="auto" w:fill="auto"/>
            <w:vAlign w:val="center"/>
          </w:tcPr>
          <w:p>
            <w:pPr>
              <w:spacing w:line="480" w:lineRule="atLeast"/>
              <w:rPr>
                <w:bCs/>
                <w:iCs/>
                <w:color w:val="000000" w:themeColor="text1"/>
                <w:sz w:val="24"/>
                <w:szCs w:val="24"/>
                <w14:textFill>
                  <w14:solidFill>
                    <w14:schemeClr w14:val="tx1"/>
                  </w14:solidFill>
                </w14:textFill>
              </w:rPr>
            </w:pPr>
            <w:r>
              <w:rPr>
                <w:rFonts w:hint="eastAsia"/>
                <w:bCs/>
                <w:iCs/>
                <w:color w:val="000000" w:themeColor="text1"/>
                <w:sz w:val="24"/>
                <w:szCs w:val="24"/>
                <w14:textFill>
                  <w14:solidFill>
                    <w14:schemeClr w14:val="tx1"/>
                  </w14:solidFill>
                </w14:textFill>
              </w:rPr>
              <w:t>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shd w:val="clear" w:color="auto" w:fill="auto"/>
          </w:tcPr>
          <w:p>
            <w:pPr>
              <w:spacing w:line="480" w:lineRule="atLeast"/>
              <w:jc w:val="center"/>
              <w:rPr>
                <w:rFonts w:ascii="宋体" w:hAnsi="宋体"/>
                <w:b/>
                <w:bCs/>
                <w:iCs/>
                <w:color w:val="000000" w:themeColor="text1"/>
                <w:sz w:val="24"/>
                <w:szCs w:val="24"/>
                <w14:textFill>
                  <w14:solidFill>
                    <w14:schemeClr w14:val="tx1"/>
                  </w14:solidFill>
                </w14:textFill>
              </w:rPr>
            </w:pPr>
            <w:r>
              <w:rPr>
                <w:rFonts w:hint="eastAsia" w:ascii="宋体" w:hAnsi="宋体"/>
                <w:b/>
                <w:bCs/>
                <w:iCs/>
                <w:color w:val="000000" w:themeColor="text1"/>
                <w:sz w:val="24"/>
                <w:szCs w:val="24"/>
                <w14:textFill>
                  <w14:solidFill>
                    <w14:schemeClr w14:val="tx1"/>
                  </w14:solidFill>
                </w14:textFill>
              </w:rPr>
              <w:t>上市公司接待人员姓名</w:t>
            </w:r>
          </w:p>
        </w:tc>
        <w:tc>
          <w:tcPr>
            <w:tcW w:w="8080" w:type="dxa"/>
            <w:shd w:val="clear" w:color="auto" w:fill="auto"/>
            <w:vAlign w:val="center"/>
          </w:tcPr>
          <w:p>
            <w:pPr>
              <w:spacing w:line="480" w:lineRule="atLeas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董事会秘书：夏保琪       计划财务部部长：韩枫</w:t>
            </w:r>
          </w:p>
          <w:p>
            <w:pPr>
              <w:spacing w:line="480" w:lineRule="atLeas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证券事务部部长：李静     证券事务部：张伟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418" w:type="dxa"/>
            <w:shd w:val="clear" w:color="auto" w:fill="auto"/>
            <w:vAlign w:val="center"/>
          </w:tcPr>
          <w:p>
            <w:pPr>
              <w:spacing w:line="480" w:lineRule="atLeast"/>
              <w:jc w:val="center"/>
              <w:rPr>
                <w:rFonts w:ascii="宋体" w:hAnsi="宋体"/>
                <w:b/>
                <w:bCs/>
                <w:iCs/>
                <w:color w:val="000000" w:themeColor="text1"/>
                <w:sz w:val="24"/>
                <w:szCs w:val="24"/>
                <w14:textFill>
                  <w14:solidFill>
                    <w14:schemeClr w14:val="tx1"/>
                  </w14:solidFill>
                </w14:textFill>
              </w:rPr>
            </w:pPr>
            <w:r>
              <w:rPr>
                <w:rFonts w:hint="eastAsia" w:ascii="宋体" w:hAnsi="宋体"/>
                <w:b/>
                <w:bCs/>
                <w:iCs/>
                <w:color w:val="000000" w:themeColor="text1"/>
                <w:sz w:val="24"/>
                <w:szCs w:val="24"/>
                <w14:textFill>
                  <w14:solidFill>
                    <w14:schemeClr w14:val="tx1"/>
                  </w14:solidFill>
                </w14:textFill>
              </w:rPr>
              <w:t>投资者关系活动主要内容介绍</w:t>
            </w:r>
          </w:p>
          <w:p>
            <w:pPr>
              <w:spacing w:line="480" w:lineRule="atLeast"/>
              <w:jc w:val="center"/>
              <w:rPr>
                <w:rFonts w:ascii="宋体" w:hAnsi="宋体"/>
                <w:b/>
                <w:bCs/>
                <w:iCs/>
                <w:color w:val="000000" w:themeColor="text1"/>
                <w:sz w:val="24"/>
                <w:szCs w:val="24"/>
                <w14:textFill>
                  <w14:solidFill>
                    <w14:schemeClr w14:val="tx1"/>
                  </w14:solidFill>
                </w14:textFill>
              </w:rPr>
            </w:pPr>
          </w:p>
        </w:tc>
        <w:tc>
          <w:tcPr>
            <w:tcW w:w="8080" w:type="dxa"/>
            <w:shd w:val="clear" w:color="auto" w:fill="auto"/>
          </w:tcPr>
          <w:p>
            <w:pPr>
              <w:widowControl/>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bCs/>
                <w:iCs/>
                <w:color w:val="000000" w:themeColor="text1"/>
                <w:sz w:val="24"/>
                <w:szCs w:val="24"/>
                <w14:textFill>
                  <w14:solidFill>
                    <w14:schemeClr w14:val="tx1"/>
                  </w14:solidFill>
                </w14:textFill>
              </w:rPr>
              <w:t>2019年公司实现营业收入121.31亿元，利润总额12.45亿元，归母净利润9.61亿元，分别较2018年调整后的同比口径分别增长了2.98%、9.65%和12.44%；</w:t>
            </w:r>
            <w:r>
              <w:rPr>
                <w:rFonts w:eastAsiaTheme="minorEastAsia"/>
                <w:color w:val="000000" w:themeColor="text1"/>
                <w:sz w:val="24"/>
                <w:szCs w:val="28"/>
                <w14:textFill>
                  <w14:solidFill>
                    <w14:schemeClr w14:val="tx1"/>
                  </w14:solidFill>
                </w14:textFill>
              </w:rPr>
              <w:t>净资产收益率（加权平均）为</w:t>
            </w:r>
            <w:r>
              <w:rPr>
                <w:rFonts w:hint="eastAsia" w:eastAsiaTheme="minorEastAsia"/>
                <w:color w:val="000000" w:themeColor="text1"/>
                <w:sz w:val="24"/>
                <w:szCs w:val="28"/>
                <w14:textFill>
                  <w14:solidFill>
                    <w14:schemeClr w14:val="tx1"/>
                  </w14:solidFill>
                </w14:textFill>
              </w:rPr>
              <w:t>10.00</w:t>
            </w:r>
            <w:r>
              <w:rPr>
                <w:rFonts w:eastAsiaTheme="minorEastAsia"/>
                <w:color w:val="000000" w:themeColor="text1"/>
                <w:sz w:val="24"/>
                <w:szCs w:val="28"/>
                <w14:textFill>
                  <w14:solidFill>
                    <w14:schemeClr w14:val="tx1"/>
                  </w14:solidFill>
                </w14:textFill>
              </w:rPr>
              <w:t>%，较201</w:t>
            </w:r>
            <w:r>
              <w:rPr>
                <w:rFonts w:hint="eastAsia" w:eastAsiaTheme="minorEastAsia"/>
                <w:color w:val="000000" w:themeColor="text1"/>
                <w:sz w:val="24"/>
                <w:szCs w:val="28"/>
                <w14:textFill>
                  <w14:solidFill>
                    <w14:schemeClr w14:val="tx1"/>
                  </w14:solidFill>
                </w14:textFill>
              </w:rPr>
              <w:t>8</w:t>
            </w:r>
            <w:r>
              <w:rPr>
                <w:rFonts w:eastAsiaTheme="minorEastAsia"/>
                <w:color w:val="000000" w:themeColor="text1"/>
                <w:sz w:val="24"/>
                <w:szCs w:val="28"/>
                <w14:textFill>
                  <w14:solidFill>
                    <w14:schemeClr w14:val="tx1"/>
                  </w14:solidFill>
                </w14:textFill>
              </w:rPr>
              <w:t>年上升0.</w:t>
            </w:r>
            <w:r>
              <w:rPr>
                <w:rFonts w:hint="eastAsia" w:eastAsiaTheme="minorEastAsia"/>
                <w:color w:val="000000" w:themeColor="text1"/>
                <w:sz w:val="24"/>
                <w:szCs w:val="28"/>
                <w14:textFill>
                  <w14:solidFill>
                    <w14:schemeClr w14:val="tx1"/>
                  </w14:solidFill>
                </w14:textFill>
              </w:rPr>
              <w:t>48</w:t>
            </w:r>
            <w:r>
              <w:rPr>
                <w:rFonts w:eastAsiaTheme="minorEastAsia"/>
                <w:color w:val="000000" w:themeColor="text1"/>
                <w:sz w:val="24"/>
                <w:szCs w:val="28"/>
                <w14:textFill>
                  <w14:solidFill>
                    <w14:schemeClr w14:val="tx1"/>
                  </w14:solidFill>
                </w14:textFill>
              </w:rPr>
              <w:t>个百分点</w:t>
            </w:r>
            <w:r>
              <w:rPr>
                <w:rFonts w:hint="eastAsia" w:eastAsiaTheme="minorEastAsia"/>
                <w:color w:val="000000" w:themeColor="text1"/>
                <w:sz w:val="24"/>
                <w:szCs w:val="28"/>
                <w14:textFill>
                  <w14:solidFill>
                    <w14:schemeClr w14:val="tx1"/>
                  </w14:solidFill>
                </w14:textFill>
              </w:rPr>
              <w:t>；</w:t>
            </w:r>
            <w:r>
              <w:rPr>
                <w:rFonts w:hint="eastAsia" w:hAnsi="宋体"/>
                <w:bCs/>
                <w:iCs/>
                <w:color w:val="000000" w:themeColor="text1"/>
                <w:sz w:val="24"/>
                <w:szCs w:val="24"/>
                <w14:textFill>
                  <w14:solidFill>
                    <w14:schemeClr w14:val="tx1"/>
                  </w14:solidFill>
                </w14:textFill>
              </w:rPr>
              <w:t>每股收益为0.27元/股，较2018年增加0.03元/股；公司持续聚焦主业，2019年航空产品收入占比69.05%，同比增长11.04%；非航空产品收入占比30.02%，同比下降11.23%；现代服务业及其他收入占比0.93%，同比下降16.06%。</w:t>
            </w:r>
          </w:p>
          <w:p>
            <w:pPr>
              <w:widowControl/>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bCs/>
                <w:iCs/>
                <w:color w:val="000000" w:themeColor="text1"/>
                <w:sz w:val="24"/>
                <w:szCs w:val="24"/>
                <w14:textFill>
                  <w14:solidFill>
                    <w14:schemeClr w14:val="tx1"/>
                  </w14:solidFill>
                </w14:textFill>
              </w:rPr>
              <w:t>2019年公司航空机电产业发展非常健康，公司在2019年底完成了转让贵阳电机、收购南京航健和增资宏光装备，目前三个项目均已完成工商变更。以上资本运作有利于保持公司持续增长的盈利能力，提升整体业绩水平；有利于统筹公司各子公司的维修能力和资源，确立在航空机电系统维修服务保障领域的领先地位，有利于完善公司航空机电业务产业链，提升公司核心竞争力，深化体制机制改革。</w:t>
            </w:r>
          </w:p>
          <w:p>
            <w:pPr>
              <w:widowControl/>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Ansi="宋体"/>
                <w:bCs/>
                <w:iCs/>
                <w:color w:val="000000" w:themeColor="text1"/>
                <w:sz w:val="24"/>
                <w:szCs w:val="24"/>
                <w14:textFill>
                  <w14:solidFill>
                    <w14:schemeClr w14:val="tx1"/>
                  </w14:solidFill>
                </w14:textFill>
              </w:rPr>
              <w:t>公司逐渐形成了体制机制、行业标准、平台整合、研发能力、智能制造、试验验证等六个方面的核心竞争力，促进公司进入持续发展的上升通道</w:t>
            </w:r>
            <w:r>
              <w:rPr>
                <w:rFonts w:hint="eastAsia" w:hAnsi="宋体"/>
                <w:bCs/>
                <w:iCs/>
                <w:color w:val="000000" w:themeColor="text1"/>
                <w:sz w:val="24"/>
                <w:szCs w:val="24"/>
                <w14:textFill>
                  <w14:solidFill>
                    <w14:schemeClr w14:val="tx1"/>
                  </w14:solidFill>
                </w14:textFill>
              </w:rPr>
              <w:t>，</w:t>
            </w:r>
            <w:r>
              <w:rPr>
                <w:rFonts w:hAnsi="宋体"/>
                <w:bCs/>
                <w:iCs/>
                <w:color w:val="000000" w:themeColor="text1"/>
                <w:sz w:val="24"/>
                <w:szCs w:val="24"/>
                <w14:textFill>
                  <w14:solidFill>
                    <w14:schemeClr w14:val="tx1"/>
                  </w14:solidFill>
                </w14:textFill>
              </w:rPr>
              <w:t>公司及母公司的航空机电产业在国内处于绝对领先地位</w:t>
            </w:r>
            <w:r>
              <w:rPr>
                <w:rFonts w:hint="eastAsia" w:hAnsi="宋体"/>
                <w:bCs/>
                <w:iCs/>
                <w:color w:val="000000" w:themeColor="text1"/>
                <w:sz w:val="24"/>
                <w:szCs w:val="24"/>
                <w14:textFill>
                  <w14:solidFill>
                    <w14:schemeClr w14:val="tx1"/>
                  </w14:solidFill>
                </w14:textFill>
              </w:rPr>
              <w:t>。公司的未来发展主要在三个方面：一是军用航空，我们目前与欧美发达国家还有差距，需要不断地投入才能实现，因此军机在近几十年的发展赛道还很长；二是民用航空，目前公司在民机方面收入约占5%左右，随着国内民机产业的发展以及巨大的市场需求，机电产品在民机收入上的增长也有着非常广阔的空间，且公司在民机产品上研发投资多，时间长，技术储备足；三是维修和备件，公司在这方面的收入约15%，公司未来的目标是达到50%左右，与世界航空产业中维修备件和新品交付的比例大体一致，而维修和备件的利润要比交付新品更为丰厚，这也是公司未来一个很好的增长点。</w:t>
            </w:r>
          </w:p>
          <w:p>
            <w:pPr>
              <w:widowControl/>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bCs/>
                <w:iCs/>
                <w:color w:val="000000" w:themeColor="text1"/>
                <w:sz w:val="24"/>
                <w:szCs w:val="24"/>
                <w14:textFill>
                  <w14:solidFill>
                    <w14:schemeClr w14:val="tx1"/>
                  </w14:solidFill>
                </w14:textFill>
              </w:rPr>
              <w:t>总体来讲，公司一方面将保持内生的稳定发展，持续提升企业经营能力和科研生产能力；另一方面作为航空机电产业的上市平台，在时机成熟的时候将继续进行外延式的并购。</w:t>
            </w:r>
          </w:p>
          <w:p>
            <w:pPr>
              <w:widowControl/>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bCs/>
                <w:iCs/>
                <w:color w:val="000000" w:themeColor="text1"/>
                <w:sz w:val="24"/>
                <w:szCs w:val="24"/>
                <w14:textFill>
                  <w14:solidFill>
                    <w14:schemeClr w14:val="tx1"/>
                  </w14:solidFill>
                </w14:textFill>
              </w:rPr>
              <w:t>2020年公司的经营目标是：实现营业收入122.42亿元，利润总额13.09亿元。</w:t>
            </w:r>
          </w:p>
          <w:p>
            <w:pPr>
              <w:widowControl/>
              <w:spacing w:line="480" w:lineRule="exact"/>
              <w:ind w:firstLine="480" w:firstLineChars="200"/>
              <w:jc w:val="left"/>
              <w:rPr>
                <w:rFonts w:hAnsi="宋体"/>
                <w:bCs/>
                <w:iCs/>
                <w:color w:val="000000" w:themeColor="text1"/>
                <w:sz w:val="24"/>
                <w:szCs w:val="24"/>
                <w14:textFill>
                  <w14:solidFill>
                    <w14:schemeClr w14:val="tx1"/>
                  </w14:solidFill>
                </w14:textFill>
              </w:rPr>
            </w:pPr>
          </w:p>
          <w:p>
            <w:pPr>
              <w:widowControl/>
              <w:spacing w:line="480" w:lineRule="exact"/>
              <w:ind w:firstLine="482" w:firstLineChars="200"/>
              <w:jc w:val="left"/>
              <w:rPr>
                <w:rFonts w:hAnsi="宋体"/>
                <w:b/>
                <w:bCs/>
                <w:iCs/>
                <w:color w:val="000000" w:themeColor="text1"/>
                <w:sz w:val="24"/>
                <w:szCs w:val="24"/>
                <w14:textFill>
                  <w14:solidFill>
                    <w14:schemeClr w14:val="tx1"/>
                  </w14:solidFill>
                </w14:textFill>
              </w:rPr>
            </w:pPr>
            <w:r>
              <w:rPr>
                <w:rFonts w:hint="eastAsia" w:hAnsi="宋体"/>
                <w:b/>
                <w:bCs/>
                <w:iCs/>
                <w:color w:val="000000" w:themeColor="text1"/>
                <w:sz w:val="24"/>
                <w:szCs w:val="24"/>
                <w14:textFill>
                  <w14:solidFill>
                    <w14:schemeClr w14:val="tx1"/>
                  </w14:solidFill>
                </w14:textFill>
              </w:rPr>
              <w:t>1.公司维修业务在整个航空军品收入中占比多少？维修行业的增速如何？商业模式是什么？</w:t>
            </w:r>
          </w:p>
          <w:p>
            <w:pPr>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bCs/>
                <w:iCs/>
                <w:color w:val="000000" w:themeColor="text1"/>
                <w:sz w:val="24"/>
                <w:szCs w:val="24"/>
                <w14:textFill>
                  <w14:solidFill>
                    <w14:schemeClr w14:val="tx1"/>
                  </w14:solidFill>
                </w14:textFill>
              </w:rPr>
              <w:t>目前公司维修备件业务收入占为15%左右，今年会逐步加大备件维修方面的投入，维修行业市场需求非常大，其增速主要还是看公司的科研生产交付能力，未来维修业务发展值得期待；经过近几年的发展，维修业务已经形成比较成熟的商业模式，而且维修业务的利润也远大于交付产品。</w:t>
            </w:r>
          </w:p>
          <w:p>
            <w:pPr>
              <w:widowControl/>
              <w:spacing w:line="480" w:lineRule="exact"/>
              <w:ind w:firstLine="482" w:firstLineChars="200"/>
              <w:jc w:val="left"/>
              <w:rPr>
                <w:rFonts w:hAnsi="宋体"/>
                <w:b/>
                <w:bCs/>
                <w:iCs/>
                <w:color w:val="000000" w:themeColor="text1"/>
                <w:sz w:val="24"/>
                <w:szCs w:val="24"/>
                <w:lang w:val="zh-CN"/>
                <w14:textFill>
                  <w14:solidFill>
                    <w14:schemeClr w14:val="tx1"/>
                  </w14:solidFill>
                </w14:textFill>
              </w:rPr>
            </w:pPr>
            <w:r>
              <w:rPr>
                <w:rFonts w:hint="eastAsia" w:hAnsi="宋体"/>
                <w:b/>
                <w:bCs/>
                <w:iCs/>
                <w:color w:val="000000" w:themeColor="text1"/>
                <w:sz w:val="24"/>
                <w:szCs w:val="24"/>
                <w14:textFill>
                  <w14:solidFill>
                    <w14:schemeClr w14:val="tx1"/>
                  </w14:solidFill>
                </w14:textFill>
              </w:rPr>
              <w:t>2.民品方面除了空调压缩机和汽车零部件，还有无其他民品？</w:t>
            </w:r>
          </w:p>
          <w:p>
            <w:pPr>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bCs/>
                <w:iCs/>
                <w:color w:val="000000" w:themeColor="text1"/>
                <w:sz w:val="24"/>
                <w:szCs w:val="24"/>
                <w14:textFill>
                  <w14:solidFill>
                    <w14:schemeClr w14:val="tx1"/>
                  </w14:solidFill>
                </w14:textFill>
              </w:rPr>
              <w:t>公司民品除了压缩机和汽车零部件，还有高低压氧舱、等静压机等民品，但是目前相对来说体量较小。</w:t>
            </w:r>
          </w:p>
          <w:p>
            <w:pPr>
              <w:widowControl/>
              <w:spacing w:line="480" w:lineRule="exact"/>
              <w:ind w:firstLine="482" w:firstLineChars="200"/>
              <w:jc w:val="left"/>
              <w:rPr>
                <w:rFonts w:hAnsi="宋体"/>
                <w:b/>
                <w:bCs/>
                <w:iCs/>
                <w:color w:val="000000" w:themeColor="text1"/>
                <w:sz w:val="24"/>
                <w:szCs w:val="24"/>
                <w14:textFill>
                  <w14:solidFill>
                    <w14:schemeClr w14:val="tx1"/>
                  </w14:solidFill>
                </w14:textFill>
              </w:rPr>
            </w:pPr>
            <w:r>
              <w:rPr>
                <w:rFonts w:hint="eastAsia" w:hAnsi="宋体"/>
                <w:b/>
                <w:bCs/>
                <w:iCs/>
                <w:color w:val="000000" w:themeColor="text1"/>
                <w:sz w:val="24"/>
                <w:szCs w:val="24"/>
                <w:lang w:val="zh-CN"/>
                <w14:textFill>
                  <w14:solidFill>
                    <w14:schemeClr w14:val="tx1"/>
                  </w14:solidFill>
                </w14:textFill>
              </w:rPr>
              <w:t>3.</w:t>
            </w:r>
            <w:r>
              <w:rPr>
                <w:rFonts w:hint="eastAsia" w:hAnsi="宋体"/>
                <w:b/>
                <w:bCs/>
                <w:iCs/>
                <w:color w:val="000000" w:themeColor="text1"/>
                <w:sz w:val="24"/>
                <w:szCs w:val="24"/>
                <w14:textFill>
                  <w14:solidFill>
                    <w14:schemeClr w14:val="tx1"/>
                  </w14:solidFill>
                </w14:textFill>
              </w:rPr>
              <w:t>C919相关业务对公司业绩贡献体现在什么时候？C919配套里大部分不是国产，公司是否需要适航取证？</w:t>
            </w:r>
          </w:p>
          <w:p>
            <w:pPr>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iCs/>
                <w:color w:val="000000" w:themeColor="text1"/>
                <w:sz w:val="24"/>
                <w:szCs w:val="24"/>
                <w14:textFill>
                  <w14:solidFill>
                    <w14:schemeClr w14:val="tx1"/>
                  </w14:solidFill>
                </w14:textFill>
              </w:rPr>
              <w:t>目前公司民机产业不足5%，C919项目当前对公司业绩贡献较小，未来“十四五”期间公司主要收入增长还来源于军机，预计要到“十五五”民机才能对公司业绩有较大贡献。</w:t>
            </w:r>
            <w:r>
              <w:rPr>
                <w:rFonts w:hint="eastAsia" w:hAnsi="宋体"/>
                <w:bCs/>
                <w:iCs/>
                <w:color w:val="000000" w:themeColor="text1"/>
                <w:sz w:val="24"/>
                <w:szCs w:val="24"/>
                <w14:textFill>
                  <w14:solidFill>
                    <w14:schemeClr w14:val="tx1"/>
                  </w14:solidFill>
                </w14:textFill>
              </w:rPr>
              <w:t>目前子公司航空工业电源已取得中国民航局发的C</w:t>
            </w:r>
            <w:r>
              <w:rPr>
                <w:rFonts w:hAnsi="宋体"/>
                <w:bCs/>
                <w:iCs/>
                <w:color w:val="000000" w:themeColor="text1"/>
                <w:sz w:val="24"/>
                <w:szCs w:val="24"/>
                <w14:textFill>
                  <w14:solidFill>
                    <w14:schemeClr w14:val="tx1"/>
                  </w14:solidFill>
                </w14:textFill>
              </w:rPr>
              <w:t>919</w:t>
            </w:r>
            <w:r>
              <w:rPr>
                <w:rFonts w:hint="eastAsia" w:hAnsi="宋体"/>
                <w:bCs/>
                <w:iCs/>
                <w:color w:val="000000" w:themeColor="text1"/>
                <w:sz w:val="24"/>
                <w:szCs w:val="24"/>
                <w14:textFill>
                  <w14:solidFill>
                    <w14:schemeClr w14:val="tx1"/>
                  </w14:solidFill>
                </w14:textFill>
              </w:rPr>
              <w:t>电源系统某产品的首个适航标签。</w:t>
            </w:r>
          </w:p>
          <w:p>
            <w:pPr>
              <w:widowControl/>
              <w:spacing w:line="480" w:lineRule="exact"/>
              <w:ind w:firstLine="482" w:firstLineChars="200"/>
              <w:jc w:val="left"/>
              <w:rPr>
                <w:rFonts w:hAnsi="宋体"/>
                <w:b/>
                <w:bCs/>
                <w:iCs/>
                <w:color w:val="000000" w:themeColor="text1"/>
                <w:sz w:val="24"/>
                <w:szCs w:val="24"/>
                <w:lang w:val="zh-CN"/>
                <w14:textFill>
                  <w14:solidFill>
                    <w14:schemeClr w14:val="tx1"/>
                  </w14:solidFill>
                </w14:textFill>
              </w:rPr>
            </w:pPr>
            <w:r>
              <w:rPr>
                <w:rFonts w:hint="eastAsia" w:hAnsi="宋体"/>
                <w:b/>
                <w:bCs/>
                <w:iCs/>
                <w:color w:val="000000" w:themeColor="text1"/>
                <w:sz w:val="24"/>
                <w:szCs w:val="24"/>
                <w14:textFill>
                  <w14:solidFill>
                    <w14:schemeClr w14:val="tx1"/>
                  </w14:solidFill>
                </w14:textFill>
              </w:rPr>
              <w:t>4.公司年报中2020年预计收入和税前利润增速有所下降，出于哪方面的考虑？</w:t>
            </w:r>
          </w:p>
          <w:p>
            <w:pPr>
              <w:spacing w:line="480" w:lineRule="exact"/>
              <w:ind w:firstLine="480" w:firstLineChars="200"/>
              <w:jc w:val="left"/>
              <w:rPr>
                <w:rFonts w:hAnsi="宋体"/>
                <w:bCs/>
                <w:iCs/>
                <w:color w:val="000000" w:themeColor="text1"/>
                <w:sz w:val="24"/>
                <w:szCs w:val="24"/>
                <w:lang w:bidi="ar"/>
                <w14:textFill>
                  <w14:solidFill>
                    <w14:schemeClr w14:val="tx1"/>
                  </w14:solidFill>
                </w14:textFill>
              </w:rPr>
            </w:pPr>
            <w:r>
              <w:rPr>
                <w:rFonts w:hint="eastAsia" w:hAnsi="宋体"/>
                <w:bCs/>
                <w:iCs/>
                <w:color w:val="000000" w:themeColor="text1"/>
                <w:sz w:val="24"/>
                <w:szCs w:val="24"/>
                <w:lang w:bidi="ar"/>
                <w14:textFill>
                  <w14:solidFill>
                    <w14:schemeClr w14:val="tx1"/>
                  </w14:solidFill>
                </w14:textFill>
              </w:rPr>
              <w:t>公司2020年收入目标是</w:t>
            </w:r>
            <w:r>
              <w:rPr>
                <w:rFonts w:hint="eastAsia"/>
                <w:color w:val="000000" w:themeColor="text1"/>
                <w:sz w:val="24"/>
                <w14:textFill>
                  <w14:solidFill>
                    <w14:schemeClr w14:val="tx1"/>
                  </w14:solidFill>
                </w14:textFill>
              </w:rPr>
              <w:t>在</w:t>
            </w:r>
            <w:r>
              <w:rPr>
                <w:color w:val="000000" w:themeColor="text1"/>
                <w:sz w:val="24"/>
                <w14:textFill>
                  <w14:solidFill>
                    <w14:schemeClr w14:val="tx1"/>
                  </w14:solidFill>
                </w14:textFill>
              </w:rPr>
              <w:t>客观分析</w:t>
            </w:r>
            <w:r>
              <w:rPr>
                <w:rFonts w:hint="eastAsia"/>
                <w:color w:val="000000" w:themeColor="text1"/>
                <w:sz w:val="24"/>
                <w14:textFill>
                  <w14:solidFill>
                    <w14:schemeClr w14:val="tx1"/>
                  </w14:solidFill>
                </w14:textFill>
              </w:rPr>
              <w:t>当前</w:t>
            </w:r>
            <w:r>
              <w:rPr>
                <w:color w:val="000000" w:themeColor="text1"/>
                <w:sz w:val="24"/>
                <w14:textFill>
                  <w14:solidFill>
                    <w14:schemeClr w14:val="tx1"/>
                  </w14:solidFill>
                </w14:textFill>
              </w:rPr>
              <w:t>经营环境的情况下制订的</w:t>
            </w:r>
            <w:r>
              <w:rPr>
                <w:rFonts w:hint="eastAsia"/>
                <w:color w:val="000000" w:themeColor="text1"/>
                <w:sz w:val="24"/>
                <w14:textFill>
                  <w14:solidFill>
                    <w14:schemeClr w14:val="tx1"/>
                  </w14:solidFill>
                </w14:textFill>
              </w:rPr>
              <w:t>，</w:t>
            </w:r>
            <w:r>
              <w:rPr>
                <w:rFonts w:hint="eastAsia" w:hAnsi="宋体"/>
                <w:bCs/>
                <w:iCs/>
                <w:color w:val="000000" w:themeColor="text1"/>
                <w:sz w:val="24"/>
                <w:szCs w:val="24"/>
                <w:lang w:bidi="ar"/>
                <w14:textFill>
                  <w14:solidFill>
                    <w14:schemeClr w14:val="tx1"/>
                  </w14:solidFill>
                </w14:textFill>
              </w:rPr>
              <w:t>主要是考虑汽车产业和空调压缩机产业处于比较严峻的市场竞争形势。</w:t>
            </w:r>
          </w:p>
          <w:p>
            <w:pPr>
              <w:widowControl/>
              <w:spacing w:line="480" w:lineRule="exact"/>
              <w:ind w:firstLine="482" w:firstLineChars="200"/>
              <w:jc w:val="left"/>
              <w:rPr>
                <w:rFonts w:hAnsi="宋体"/>
                <w:b/>
                <w:bCs/>
                <w:iCs/>
                <w:color w:val="000000" w:themeColor="text1"/>
                <w:sz w:val="24"/>
                <w:szCs w:val="24"/>
                <w:lang w:val="zh-CN"/>
                <w14:textFill>
                  <w14:solidFill>
                    <w14:schemeClr w14:val="tx1"/>
                  </w14:solidFill>
                </w14:textFill>
              </w:rPr>
            </w:pPr>
            <w:r>
              <w:rPr>
                <w:rFonts w:hint="eastAsia" w:hAnsi="宋体"/>
                <w:b/>
                <w:bCs/>
                <w:iCs/>
                <w:color w:val="000000" w:themeColor="text1"/>
                <w:sz w:val="24"/>
                <w:szCs w:val="24"/>
                <w14:textFill>
                  <w14:solidFill>
                    <w14:schemeClr w14:val="tx1"/>
                  </w14:solidFill>
                </w14:textFill>
              </w:rPr>
              <w:t>5</w:t>
            </w:r>
            <w:r>
              <w:rPr>
                <w:rFonts w:hint="eastAsia" w:hAnsi="宋体"/>
                <w:b/>
                <w:bCs/>
                <w:iCs/>
                <w:color w:val="000000" w:themeColor="text1"/>
                <w:sz w:val="24"/>
                <w:szCs w:val="24"/>
                <w:lang w:val="zh-TW"/>
                <w14:textFill>
                  <w14:solidFill>
                    <w14:schemeClr w14:val="tx1"/>
                  </w14:solidFill>
                </w14:textFill>
              </w:rPr>
              <w:t>.</w:t>
            </w:r>
            <w:r>
              <w:rPr>
                <w:rFonts w:hint="eastAsia" w:hAnsi="宋体"/>
                <w:b/>
                <w:bCs/>
                <w:iCs/>
                <w:color w:val="000000" w:themeColor="text1"/>
                <w:sz w:val="24"/>
                <w:szCs w:val="24"/>
                <w14:textFill>
                  <w14:solidFill>
                    <w14:schemeClr w14:val="tx1"/>
                  </w14:solidFill>
                </w14:textFill>
              </w:rPr>
              <w:t>从行业经验看，航空机电产业与国外差距有多大？</w:t>
            </w:r>
          </w:p>
          <w:p>
            <w:pPr>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bCs/>
                <w:iCs/>
                <w:color w:val="000000" w:themeColor="text1"/>
                <w:sz w:val="24"/>
                <w:szCs w:val="24"/>
                <w14:textFill>
                  <w14:solidFill>
                    <w14:schemeClr w14:val="tx1"/>
                  </w14:solidFill>
                </w14:textFill>
              </w:rPr>
              <w:t>从技术上看，目前我们与西方发达国家还有一定的差距，根源还是系统性问题。</w:t>
            </w:r>
          </w:p>
          <w:p>
            <w:pPr>
              <w:widowControl/>
              <w:spacing w:line="480" w:lineRule="exact"/>
              <w:ind w:firstLine="482" w:firstLineChars="200"/>
              <w:jc w:val="left"/>
              <w:rPr>
                <w:rFonts w:hAnsi="宋体"/>
                <w:b/>
                <w:bCs/>
                <w:iCs/>
                <w:color w:val="000000" w:themeColor="text1"/>
                <w:sz w:val="24"/>
                <w:szCs w:val="24"/>
                <w14:textFill>
                  <w14:solidFill>
                    <w14:schemeClr w14:val="tx1"/>
                  </w14:solidFill>
                </w14:textFill>
              </w:rPr>
            </w:pPr>
            <w:r>
              <w:rPr>
                <w:rFonts w:hint="eastAsia" w:hAnsi="宋体"/>
                <w:b/>
                <w:bCs/>
                <w:iCs/>
                <w:color w:val="000000" w:themeColor="text1"/>
                <w:sz w:val="24"/>
                <w:szCs w:val="24"/>
                <w14:textFill>
                  <w14:solidFill>
                    <w14:schemeClr w14:val="tx1"/>
                  </w14:solidFill>
                </w14:textFill>
              </w:rPr>
              <w:t>6</w:t>
            </w:r>
            <w:r>
              <w:rPr>
                <w:rFonts w:hint="eastAsia" w:hAnsi="宋体"/>
                <w:b/>
                <w:bCs/>
                <w:iCs/>
                <w:color w:val="000000" w:themeColor="text1"/>
                <w:sz w:val="24"/>
                <w:szCs w:val="24"/>
                <w:lang w:val="zh-TW"/>
                <w14:textFill>
                  <w14:solidFill>
                    <w14:schemeClr w14:val="tx1"/>
                  </w14:solidFill>
                </w14:textFill>
              </w:rPr>
              <w:t>.</w:t>
            </w:r>
            <w:r>
              <w:rPr>
                <w:rFonts w:hint="eastAsia" w:hAnsi="宋体"/>
                <w:b/>
                <w:iCs/>
                <w:color w:val="000000" w:themeColor="text1"/>
                <w:sz w:val="24"/>
                <w:szCs w:val="24"/>
                <w14:textFill>
                  <w14:solidFill>
                    <w14:schemeClr w14:val="tx1"/>
                  </w14:solidFill>
                </w14:textFill>
              </w:rPr>
              <w:t>2019年经营现金流较好的原因</w:t>
            </w:r>
            <w:r>
              <w:rPr>
                <w:rFonts w:hint="eastAsia" w:hAnsi="宋体"/>
                <w:b/>
                <w:bCs/>
                <w:iCs/>
                <w:color w:val="000000" w:themeColor="text1"/>
                <w:sz w:val="24"/>
                <w:szCs w:val="24"/>
                <w14:textFill>
                  <w14:solidFill>
                    <w14:schemeClr w14:val="tx1"/>
                  </w14:solidFill>
                </w14:textFill>
              </w:rPr>
              <w:t>？</w:t>
            </w:r>
          </w:p>
          <w:p>
            <w:pPr>
              <w:spacing w:line="480" w:lineRule="exact"/>
              <w:ind w:firstLine="480" w:firstLineChars="200"/>
              <w:jc w:val="left"/>
              <w:rPr>
                <w:rFonts w:hAnsi="宋体"/>
                <w:bCs/>
                <w:iCs/>
                <w:color w:val="000000" w:themeColor="text1"/>
                <w:sz w:val="24"/>
                <w:szCs w:val="24"/>
                <w:lang w:bidi="ar"/>
                <w14:textFill>
                  <w14:solidFill>
                    <w14:schemeClr w14:val="tx1"/>
                  </w14:solidFill>
                </w14:textFill>
              </w:rPr>
            </w:pPr>
            <w:r>
              <w:rPr>
                <w:rFonts w:hint="eastAsia" w:hAnsi="宋体"/>
                <w:bCs/>
                <w:iCs/>
                <w:color w:val="000000" w:themeColor="text1"/>
                <w:sz w:val="24"/>
                <w:szCs w:val="24"/>
                <w:lang w:val="en-US" w:eastAsia="zh-CN" w:bidi="ar"/>
                <w14:textFill>
                  <w14:solidFill>
                    <w14:schemeClr w14:val="tx1"/>
                  </w14:solidFill>
                </w14:textFill>
              </w:rPr>
              <w:t>2019年</w:t>
            </w:r>
            <w:bookmarkStart w:id="0" w:name="_GoBack"/>
            <w:bookmarkEnd w:id="0"/>
            <w:r>
              <w:rPr>
                <w:rFonts w:hint="eastAsia" w:hAnsi="宋体"/>
                <w:bCs/>
                <w:iCs/>
                <w:color w:val="000000" w:themeColor="text1"/>
                <w:sz w:val="24"/>
                <w:szCs w:val="24"/>
                <w:lang w:bidi="ar"/>
                <w14:textFill>
                  <w14:solidFill>
                    <w14:schemeClr w14:val="tx1"/>
                  </w14:solidFill>
                </w14:textFill>
              </w:rPr>
              <w:t>经营现金流比较好的原因有两方面，一是由于2017年客户提前付款，现金流特别高，而2018年现金流比较差，出现了负现金流， 2</w:t>
            </w:r>
            <w:r>
              <w:rPr>
                <w:rFonts w:hAnsi="宋体"/>
                <w:bCs/>
                <w:iCs/>
                <w:color w:val="000000" w:themeColor="text1"/>
                <w:sz w:val="24"/>
                <w:szCs w:val="24"/>
                <w:lang w:bidi="ar"/>
                <w14:textFill>
                  <w14:solidFill>
                    <w14:schemeClr w14:val="tx1"/>
                  </w14:solidFill>
                </w14:textFill>
              </w:rPr>
              <w:t>019</w:t>
            </w:r>
            <w:r>
              <w:rPr>
                <w:rFonts w:hint="eastAsia" w:hAnsi="宋体"/>
                <w:bCs/>
                <w:iCs/>
                <w:color w:val="000000" w:themeColor="text1"/>
                <w:sz w:val="24"/>
                <w:szCs w:val="24"/>
                <w:lang w:bidi="ar"/>
                <w14:textFill>
                  <w14:solidFill>
                    <w14:schemeClr w14:val="tx1"/>
                  </w14:solidFill>
                </w14:textFill>
              </w:rPr>
              <w:t>年现金流是回归正常状态；二是公司2019年在现金管理上做了一些内部提升工作，包括均衡生产和交付、</w:t>
            </w:r>
            <w:r>
              <w:rPr>
                <w:rFonts w:hAnsi="宋体"/>
                <w:bCs/>
                <w:iCs/>
                <w:color w:val="000000" w:themeColor="text1"/>
                <w:sz w:val="24"/>
                <w:szCs w:val="24"/>
                <w:lang w:bidi="ar"/>
                <w14:textFill>
                  <w14:solidFill>
                    <w14:schemeClr w14:val="tx1"/>
                  </w14:solidFill>
                </w14:textFill>
              </w:rPr>
              <w:t>T</w:t>
            </w:r>
            <w:r>
              <w:rPr>
                <w:rFonts w:hint="eastAsia" w:hAnsi="宋体"/>
                <w:bCs/>
                <w:iCs/>
                <w:color w:val="000000" w:themeColor="text1"/>
                <w:sz w:val="24"/>
                <w:szCs w:val="24"/>
                <w:lang w:bidi="ar"/>
                <w14:textFill>
                  <w14:solidFill>
                    <w14:schemeClr w14:val="tx1"/>
                  </w14:solidFill>
                </w14:textFill>
              </w:rPr>
              <w:t>+</w:t>
            </w:r>
            <w:r>
              <w:rPr>
                <w:rFonts w:hAnsi="宋体"/>
                <w:bCs/>
                <w:iCs/>
                <w:color w:val="000000" w:themeColor="text1"/>
                <w:sz w:val="24"/>
                <w:szCs w:val="24"/>
                <w:lang w:bidi="ar"/>
                <w14:textFill>
                  <w14:solidFill>
                    <w14:schemeClr w14:val="tx1"/>
                  </w14:solidFill>
                </w14:textFill>
              </w:rPr>
              <w:t>90</w:t>
            </w:r>
            <w:r>
              <w:rPr>
                <w:rFonts w:hint="eastAsia" w:hAnsi="宋体"/>
                <w:bCs/>
                <w:iCs/>
                <w:color w:val="000000" w:themeColor="text1"/>
                <w:sz w:val="24"/>
                <w:szCs w:val="24"/>
                <w:lang w:bidi="ar"/>
                <w14:textFill>
                  <w14:solidFill>
                    <w14:schemeClr w14:val="tx1"/>
                  </w14:solidFill>
                </w14:textFill>
              </w:rPr>
              <w:t>的付款模式等，因此2</w:t>
            </w:r>
            <w:r>
              <w:rPr>
                <w:rFonts w:hAnsi="宋体"/>
                <w:bCs/>
                <w:iCs/>
                <w:color w:val="000000" w:themeColor="text1"/>
                <w:sz w:val="24"/>
                <w:szCs w:val="24"/>
                <w:lang w:bidi="ar"/>
                <w14:textFill>
                  <w14:solidFill>
                    <w14:schemeClr w14:val="tx1"/>
                  </w14:solidFill>
                </w14:textFill>
              </w:rPr>
              <w:t>019</w:t>
            </w:r>
            <w:r>
              <w:rPr>
                <w:rFonts w:hint="eastAsia" w:hAnsi="宋体"/>
                <w:bCs/>
                <w:iCs/>
                <w:color w:val="000000" w:themeColor="text1"/>
                <w:sz w:val="24"/>
                <w:szCs w:val="24"/>
                <w:lang w:bidi="ar"/>
                <w14:textFill>
                  <w14:solidFill>
                    <w14:schemeClr w14:val="tx1"/>
                  </w14:solidFill>
                </w14:textFill>
              </w:rPr>
              <w:t>年现金流大幅改善。</w:t>
            </w:r>
          </w:p>
          <w:p>
            <w:pPr>
              <w:widowControl/>
              <w:spacing w:line="480" w:lineRule="exact"/>
              <w:ind w:firstLine="482" w:firstLineChars="200"/>
              <w:jc w:val="left"/>
              <w:rPr>
                <w:rFonts w:hAnsi="宋体"/>
                <w:b/>
                <w:bCs/>
                <w:iCs/>
                <w:color w:val="000000" w:themeColor="text1"/>
                <w:sz w:val="24"/>
                <w:szCs w:val="24"/>
                <w14:textFill>
                  <w14:solidFill>
                    <w14:schemeClr w14:val="tx1"/>
                  </w14:solidFill>
                </w14:textFill>
              </w:rPr>
            </w:pPr>
            <w:r>
              <w:rPr>
                <w:rFonts w:hint="eastAsia" w:hAnsi="宋体"/>
                <w:b/>
                <w:bCs/>
                <w:iCs/>
                <w:color w:val="000000" w:themeColor="text1"/>
                <w:sz w:val="24"/>
                <w:szCs w:val="24"/>
                <w:lang w:val="zh-TW"/>
                <w14:textFill>
                  <w14:solidFill>
                    <w14:schemeClr w14:val="tx1"/>
                  </w14:solidFill>
                </w14:textFill>
              </w:rPr>
              <w:t>7.</w:t>
            </w:r>
            <w:r>
              <w:rPr>
                <w:rFonts w:hint="eastAsia" w:hAnsi="宋体"/>
                <w:b/>
                <w:iCs/>
                <w:color w:val="000000" w:themeColor="text1"/>
                <w:sz w:val="24"/>
                <w:szCs w:val="24"/>
                <w14:textFill>
                  <w14:solidFill>
                    <w14:schemeClr w14:val="tx1"/>
                  </w14:solidFill>
                </w14:textFill>
              </w:rPr>
              <w:t>受疫情影响，海外需求有限，如果中长期保持这样，对公司汽车产业有何影响</w:t>
            </w:r>
            <w:r>
              <w:rPr>
                <w:rFonts w:hint="eastAsia" w:hAnsi="宋体"/>
                <w:b/>
                <w:bCs/>
                <w:iCs/>
                <w:color w:val="000000" w:themeColor="text1"/>
                <w:sz w:val="24"/>
                <w:szCs w:val="24"/>
                <w14:textFill>
                  <w14:solidFill>
                    <w14:schemeClr w14:val="tx1"/>
                  </w14:solidFill>
                </w14:textFill>
              </w:rPr>
              <w:t>？</w:t>
            </w:r>
          </w:p>
          <w:p>
            <w:pPr>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bCs/>
                <w:iCs/>
                <w:color w:val="000000" w:themeColor="text1"/>
                <w:sz w:val="24"/>
                <w:szCs w:val="24"/>
                <w14:textFill>
                  <w14:solidFill>
                    <w14:schemeClr w14:val="tx1"/>
                  </w14:solidFill>
                </w14:textFill>
              </w:rPr>
              <w:t>受疫情影响，子公司精机科技已于3月9日复工，从精机科技反馈情况来看，目前已经基本恢复正常生产，达到了原先的生产能力。公司应对疫情，有两个较大优势，一是人员优势，二是军工企业管理背景，人员比较稳定，大量员工都是固定员工，对公司影响少，各个单位都能做到100%满员复工；此外，公司供应链的前段的需求比较少，主要还是基础原材料和基础产品，这块原料影响比较小；部分公司已采用6天工作制，加班加点缩小因疫情耽误的生产进度。</w:t>
            </w:r>
          </w:p>
          <w:p>
            <w:pPr>
              <w:widowControl/>
              <w:spacing w:line="480" w:lineRule="exact"/>
              <w:ind w:firstLine="482" w:firstLineChars="200"/>
              <w:jc w:val="left"/>
              <w:rPr>
                <w:rFonts w:hAnsi="宋体"/>
                <w:b/>
                <w:bCs/>
                <w:iCs/>
                <w:color w:val="000000" w:themeColor="text1"/>
                <w:sz w:val="24"/>
                <w:szCs w:val="24"/>
                <w14:textFill>
                  <w14:solidFill>
                    <w14:schemeClr w14:val="tx1"/>
                  </w14:solidFill>
                </w14:textFill>
              </w:rPr>
            </w:pPr>
            <w:r>
              <w:rPr>
                <w:rFonts w:hint="eastAsia" w:hAnsi="宋体"/>
                <w:b/>
                <w:bCs/>
                <w:iCs/>
                <w:color w:val="000000" w:themeColor="text1"/>
                <w:sz w:val="24"/>
                <w:szCs w:val="24"/>
                <w14:textFill>
                  <w14:solidFill>
                    <w14:schemeClr w14:val="tx1"/>
                  </w14:solidFill>
                </w14:textFill>
              </w:rPr>
              <w:t>8</w:t>
            </w:r>
            <w:r>
              <w:rPr>
                <w:rFonts w:hint="eastAsia" w:hAnsi="宋体"/>
                <w:b/>
                <w:bCs/>
                <w:iCs/>
                <w:color w:val="000000" w:themeColor="text1"/>
                <w:sz w:val="24"/>
                <w:szCs w:val="24"/>
                <w:lang w:val="zh-TW"/>
                <w14:textFill>
                  <w14:solidFill>
                    <w14:schemeClr w14:val="tx1"/>
                  </w14:solidFill>
                </w14:textFill>
              </w:rPr>
              <w:t>.</w:t>
            </w:r>
            <w:r>
              <w:rPr>
                <w:rFonts w:hint="eastAsia" w:hAnsi="宋体"/>
                <w:b/>
                <w:bCs/>
                <w:iCs/>
                <w:color w:val="000000" w:themeColor="text1"/>
                <w:sz w:val="24"/>
                <w:szCs w:val="24"/>
                <w14:textFill>
                  <w14:solidFill>
                    <w14:schemeClr w14:val="tx1"/>
                  </w14:solidFill>
                </w14:textFill>
              </w:rPr>
              <w:t>关联交易预计和实际完成的差异较大，原因是什么？</w:t>
            </w:r>
          </w:p>
          <w:p>
            <w:pPr>
              <w:spacing w:line="480" w:lineRule="exact"/>
              <w:ind w:firstLine="480" w:firstLineChars="200"/>
              <w:jc w:val="left"/>
              <w:rPr>
                <w:rFonts w:hAnsi="宋体"/>
                <w:bCs/>
                <w:iCs/>
                <w:color w:val="000000" w:themeColor="text1"/>
                <w:sz w:val="24"/>
                <w:szCs w:val="24"/>
                <w:lang w:val="zh-TW"/>
                <w14:textFill>
                  <w14:solidFill>
                    <w14:schemeClr w14:val="tx1"/>
                  </w14:solidFill>
                </w14:textFill>
              </w:rPr>
            </w:pPr>
            <w:r>
              <w:rPr>
                <w:rFonts w:hint="eastAsia" w:hAnsi="宋体"/>
                <w:iCs/>
                <w:color w:val="000000" w:themeColor="text1"/>
                <w:sz w:val="24"/>
                <w:szCs w:val="24"/>
                <w14:textFill>
                  <w14:solidFill>
                    <w14:schemeClr w14:val="tx1"/>
                  </w14:solidFill>
                </w14:textFill>
              </w:rPr>
              <w:t>主要有两个方面：一是从规则上，如若实际使用超出预计，需开董事会，为提高工作效率，通常会放宽额度；二是从关联交易本身上，分为生产经营和产品交付，考虑到产品内部生产外扩，它不单纯指上市公司外，内部也算关联交易，因此会放大规模；此外，存贷款有波峰波谷，除了期末，过程中也会有高点，关联交易公告审议时会都考虑进去，而期末值可能是波谷，看上去会差异大。</w:t>
            </w:r>
          </w:p>
          <w:p>
            <w:pPr>
              <w:widowControl/>
              <w:spacing w:line="480" w:lineRule="exact"/>
              <w:ind w:firstLine="482" w:firstLineChars="200"/>
              <w:jc w:val="left"/>
              <w:rPr>
                <w:rFonts w:hAnsi="宋体"/>
                <w:b/>
                <w:bCs/>
                <w:iCs/>
                <w:color w:val="000000" w:themeColor="text1"/>
                <w:sz w:val="24"/>
                <w:szCs w:val="24"/>
                <w14:textFill>
                  <w14:solidFill>
                    <w14:schemeClr w14:val="tx1"/>
                  </w14:solidFill>
                </w14:textFill>
              </w:rPr>
            </w:pPr>
            <w:r>
              <w:rPr>
                <w:rFonts w:hint="eastAsia" w:hAnsi="宋体"/>
                <w:b/>
                <w:bCs/>
                <w:iCs/>
                <w:color w:val="000000" w:themeColor="text1"/>
                <w:sz w:val="24"/>
                <w:szCs w:val="24"/>
                <w14:textFill>
                  <w14:solidFill>
                    <w14:schemeClr w14:val="tx1"/>
                  </w14:solidFill>
                </w14:textFill>
              </w:rPr>
              <w:t>9</w:t>
            </w:r>
            <w:r>
              <w:rPr>
                <w:rFonts w:hint="eastAsia" w:hAnsi="宋体"/>
                <w:b/>
                <w:bCs/>
                <w:iCs/>
                <w:color w:val="000000" w:themeColor="text1"/>
                <w:sz w:val="24"/>
                <w:szCs w:val="24"/>
                <w:lang w:val="zh-TW"/>
                <w14:textFill>
                  <w14:solidFill>
                    <w14:schemeClr w14:val="tx1"/>
                  </w14:solidFill>
                </w14:textFill>
              </w:rPr>
              <w:t>.</w:t>
            </w:r>
            <w:r>
              <w:rPr>
                <w:rFonts w:hint="eastAsia" w:hAnsi="宋体"/>
                <w:b/>
                <w:iCs/>
                <w:color w:val="000000" w:themeColor="text1"/>
                <w:sz w:val="24"/>
                <w:szCs w:val="24"/>
                <w14:textFill>
                  <w14:solidFill>
                    <w14:schemeClr w14:val="tx1"/>
                  </w14:solidFill>
                </w14:textFill>
              </w:rPr>
              <w:t>精机科技2019年销量下滑30%以上，收入还是增长的，是精机麦格纳影响么</w:t>
            </w:r>
            <w:r>
              <w:rPr>
                <w:rFonts w:hint="eastAsia" w:hAnsi="宋体"/>
                <w:b/>
                <w:bCs/>
                <w:iCs/>
                <w:color w:val="000000" w:themeColor="text1"/>
                <w:sz w:val="24"/>
                <w:szCs w:val="24"/>
                <w14:textFill>
                  <w14:solidFill>
                    <w14:schemeClr w14:val="tx1"/>
                  </w14:solidFill>
                </w14:textFill>
              </w:rPr>
              <w:t>？精机麦格纳收入占比如何？</w:t>
            </w:r>
          </w:p>
          <w:p>
            <w:pPr>
              <w:widowControl/>
              <w:spacing w:line="480" w:lineRule="exact"/>
              <w:ind w:firstLine="480" w:firstLineChars="200"/>
              <w:jc w:val="left"/>
              <w:rPr>
                <w:rFonts w:hAnsi="宋体"/>
                <w:b/>
                <w:bCs/>
                <w:iCs/>
                <w:color w:val="000000" w:themeColor="text1"/>
                <w:sz w:val="24"/>
                <w:szCs w:val="24"/>
                <w14:textFill>
                  <w14:solidFill>
                    <w14:schemeClr w14:val="tx1"/>
                  </w14:solidFill>
                </w14:textFill>
              </w:rPr>
            </w:pPr>
            <w:r>
              <w:rPr>
                <w:rFonts w:hint="eastAsia" w:hAnsi="宋体"/>
                <w:bCs/>
                <w:iCs/>
                <w:color w:val="000000" w:themeColor="text1"/>
                <w:sz w:val="24"/>
                <w:szCs w:val="24"/>
                <w14:textFill>
                  <w14:solidFill>
                    <w14:schemeClr w14:val="tx1"/>
                  </w14:solidFill>
                </w14:textFill>
              </w:rPr>
              <w:t>精机科技的销量下滑主要是调角器业务，</w:t>
            </w:r>
            <w:r>
              <w:rPr>
                <w:rFonts w:hint="eastAsia" w:hAnsi="宋体"/>
                <w:iCs/>
                <w:color w:val="000000" w:themeColor="text1"/>
                <w:sz w:val="24"/>
                <w:szCs w:val="24"/>
                <w14:textFill>
                  <w14:solidFill>
                    <w14:schemeClr w14:val="tx1"/>
                  </w14:solidFill>
                </w14:textFill>
              </w:rPr>
              <w:t>从目前整体情况看，精机麦格纳的收入没有下降，主要是境外泰国公司去年3季度达产，境外业务贡献了3~4亿收入规模，此外精机科技还有精冲业务。精机麦格纳占精机科技收入的80%左右。</w:t>
            </w:r>
            <w:r>
              <w:rPr>
                <w:rFonts w:hAnsi="宋体"/>
                <w:bCs/>
                <w:iCs/>
                <w:color w:val="000000" w:themeColor="text1"/>
                <w:sz w:val="24"/>
                <w:szCs w:val="24"/>
                <w14:textFill>
                  <w14:solidFill>
                    <w14:schemeClr w14:val="tx1"/>
                  </w14:solidFill>
                </w14:textFill>
              </w:rPr>
              <w:t xml:space="preserve"> </w:t>
            </w:r>
          </w:p>
          <w:p>
            <w:pPr>
              <w:widowControl/>
              <w:spacing w:line="480" w:lineRule="exact"/>
              <w:ind w:firstLine="482" w:firstLineChars="200"/>
              <w:jc w:val="left"/>
              <w:rPr>
                <w:rFonts w:hAnsi="宋体"/>
                <w:b/>
                <w:bCs/>
                <w:iCs/>
                <w:color w:val="000000" w:themeColor="text1"/>
                <w:sz w:val="24"/>
                <w:szCs w:val="24"/>
                <w14:textFill>
                  <w14:solidFill>
                    <w14:schemeClr w14:val="tx1"/>
                  </w14:solidFill>
                </w14:textFill>
              </w:rPr>
            </w:pPr>
            <w:r>
              <w:rPr>
                <w:rFonts w:hint="eastAsia" w:hAnsi="宋体"/>
                <w:b/>
                <w:bCs/>
                <w:iCs/>
                <w:color w:val="000000" w:themeColor="text1"/>
                <w:sz w:val="24"/>
                <w:szCs w:val="24"/>
                <w14:textFill>
                  <w14:solidFill>
                    <w14:schemeClr w14:val="tx1"/>
                  </w14:solidFill>
                </w14:textFill>
              </w:rPr>
              <w:t>10</w:t>
            </w:r>
            <w:r>
              <w:rPr>
                <w:rFonts w:hint="eastAsia" w:hAnsi="宋体"/>
                <w:b/>
                <w:bCs/>
                <w:iCs/>
                <w:color w:val="000000" w:themeColor="text1"/>
                <w:sz w:val="24"/>
                <w:szCs w:val="24"/>
                <w:lang w:val="zh-TW"/>
                <w14:textFill>
                  <w14:solidFill>
                    <w14:schemeClr w14:val="tx1"/>
                  </w14:solidFill>
                </w14:textFill>
              </w:rPr>
              <w:t>.</w:t>
            </w:r>
            <w:r>
              <w:rPr>
                <w:rFonts w:hint="eastAsia" w:hAnsi="宋体"/>
                <w:b/>
                <w:iCs/>
                <w:color w:val="000000" w:themeColor="text1"/>
                <w:sz w:val="24"/>
                <w:szCs w:val="24"/>
                <w14:textFill>
                  <w14:solidFill>
                    <w14:schemeClr w14:val="tx1"/>
                  </w14:solidFill>
                </w14:textFill>
              </w:rPr>
              <w:t>2019年研发费用增加原因</w:t>
            </w:r>
            <w:r>
              <w:rPr>
                <w:rFonts w:hint="eastAsia" w:hAnsi="宋体"/>
                <w:b/>
                <w:bCs/>
                <w:iCs/>
                <w:color w:val="000000" w:themeColor="text1"/>
                <w:sz w:val="24"/>
                <w:szCs w:val="24"/>
                <w14:textFill>
                  <w14:solidFill>
                    <w14:schemeClr w14:val="tx1"/>
                  </w14:solidFill>
                </w14:textFill>
              </w:rPr>
              <w:t>？</w:t>
            </w:r>
          </w:p>
          <w:p>
            <w:pPr>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bCs/>
                <w:iCs/>
                <w:color w:val="000000" w:themeColor="text1"/>
                <w:sz w:val="24"/>
                <w:szCs w:val="24"/>
                <w14:textFill>
                  <w14:solidFill>
                    <w14:schemeClr w14:val="tx1"/>
                  </w14:solidFill>
                </w14:textFill>
              </w:rPr>
              <w:t>研发费用体现在项目费用支出上，一是进入当期费用的，同比增长30%，另外是整体项目支出9.5%的营收，差异主要是国家补充的投入。当年增加比较多确实是取得了阶段性成果，达到了阶段性目标。从研发投入结构和过程看，主要分三部分，第一部分是直接进当期费用；第二部分是资本化，如设备，固定资产等；第三部分是国拨技改，不在当期费用和经营体现。从公司研发投入多渠道来源看，都处于较高的比例，去年也在9.6%，今年在9.5%左右。公司研发投入的可持续性，以及重视未来技术发展上都处于领先水平。</w:t>
            </w:r>
          </w:p>
          <w:p>
            <w:pPr>
              <w:widowControl/>
              <w:spacing w:line="480" w:lineRule="exact"/>
              <w:ind w:firstLine="482" w:firstLineChars="200"/>
              <w:jc w:val="left"/>
              <w:rPr>
                <w:rFonts w:hAnsi="宋体"/>
                <w:b/>
                <w:bCs/>
                <w:iCs/>
                <w:color w:val="000000" w:themeColor="text1"/>
                <w:sz w:val="24"/>
                <w:szCs w:val="24"/>
                <w14:textFill>
                  <w14:solidFill>
                    <w14:schemeClr w14:val="tx1"/>
                  </w14:solidFill>
                </w14:textFill>
              </w:rPr>
            </w:pPr>
            <w:r>
              <w:rPr>
                <w:rFonts w:hint="eastAsia" w:hAnsi="宋体"/>
                <w:b/>
                <w:bCs/>
                <w:iCs/>
                <w:color w:val="000000" w:themeColor="text1"/>
                <w:sz w:val="24"/>
                <w:szCs w:val="24"/>
                <w14:textFill>
                  <w14:solidFill>
                    <w14:schemeClr w14:val="tx1"/>
                  </w14:solidFill>
                </w14:textFill>
              </w:rPr>
              <w:t>11</w:t>
            </w:r>
            <w:r>
              <w:rPr>
                <w:rFonts w:hint="eastAsia" w:hAnsi="宋体"/>
                <w:b/>
                <w:bCs/>
                <w:iCs/>
                <w:color w:val="000000" w:themeColor="text1"/>
                <w:sz w:val="24"/>
                <w:szCs w:val="24"/>
                <w:lang w:val="zh-TW"/>
                <w14:textFill>
                  <w14:solidFill>
                    <w14:schemeClr w14:val="tx1"/>
                  </w14:solidFill>
                </w14:textFill>
              </w:rPr>
              <w:t>.</w:t>
            </w:r>
            <w:r>
              <w:rPr>
                <w:rFonts w:hint="eastAsia" w:hAnsi="宋体"/>
                <w:b/>
                <w:iCs/>
                <w:color w:val="000000" w:themeColor="text1"/>
                <w:sz w:val="24"/>
                <w:szCs w:val="24"/>
                <w14:textFill>
                  <w14:solidFill>
                    <w14:schemeClr w14:val="tx1"/>
                  </w14:solidFill>
                </w14:textFill>
              </w:rPr>
              <w:t>公司</w:t>
            </w:r>
            <w:r>
              <w:rPr>
                <w:rFonts w:hint="eastAsia" w:hAnsi="宋体"/>
                <w:b/>
                <w:bCs/>
                <w:iCs/>
                <w:color w:val="000000" w:themeColor="text1"/>
                <w:sz w:val="24"/>
                <w:szCs w:val="24"/>
                <w14:textFill>
                  <w14:solidFill>
                    <w14:schemeClr w14:val="tx1"/>
                  </w14:solidFill>
                </w14:textFill>
              </w:rPr>
              <w:t>院所改制进展情况如何？</w:t>
            </w:r>
          </w:p>
          <w:p>
            <w:pPr>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bCs/>
                <w:iCs/>
                <w:color w:val="000000" w:themeColor="text1"/>
                <w:sz w:val="24"/>
                <w:szCs w:val="24"/>
                <w14:textFill>
                  <w14:solidFill>
                    <w14:schemeClr w14:val="tx1"/>
                  </w14:solidFill>
                </w14:textFill>
              </w:rPr>
              <w:t>公司一直在积极推进院所改制工作，从国家层面上，政策上的障碍已得到解决，公司正在大力推进相关流程。</w:t>
            </w:r>
          </w:p>
          <w:p>
            <w:pPr>
              <w:widowControl/>
              <w:spacing w:line="480" w:lineRule="exact"/>
              <w:ind w:firstLine="482" w:firstLineChars="200"/>
              <w:jc w:val="left"/>
              <w:rPr>
                <w:rFonts w:hAnsi="宋体"/>
                <w:b/>
                <w:bCs/>
                <w:iCs/>
                <w:color w:val="000000" w:themeColor="text1"/>
                <w:sz w:val="24"/>
                <w:szCs w:val="24"/>
                <w14:textFill>
                  <w14:solidFill>
                    <w14:schemeClr w14:val="tx1"/>
                  </w14:solidFill>
                </w14:textFill>
              </w:rPr>
            </w:pPr>
            <w:r>
              <w:rPr>
                <w:rFonts w:hint="eastAsia" w:hAnsi="宋体"/>
                <w:b/>
                <w:bCs/>
                <w:iCs/>
                <w:color w:val="000000" w:themeColor="text1"/>
                <w:sz w:val="24"/>
                <w:szCs w:val="24"/>
                <w14:textFill>
                  <w14:solidFill>
                    <w14:schemeClr w14:val="tx1"/>
                  </w14:solidFill>
                </w14:textFill>
              </w:rPr>
              <w:t>12</w:t>
            </w:r>
            <w:r>
              <w:rPr>
                <w:rFonts w:hint="eastAsia" w:hAnsi="宋体"/>
                <w:b/>
                <w:bCs/>
                <w:iCs/>
                <w:color w:val="000000" w:themeColor="text1"/>
                <w:sz w:val="24"/>
                <w:szCs w:val="24"/>
                <w:lang w:val="zh-TW"/>
                <w14:textFill>
                  <w14:solidFill>
                    <w14:schemeClr w14:val="tx1"/>
                  </w14:solidFill>
                </w14:textFill>
              </w:rPr>
              <w:t>.</w:t>
            </w:r>
            <w:r>
              <w:rPr>
                <w:rFonts w:hint="eastAsia" w:hAnsi="宋体"/>
                <w:b/>
                <w:iCs/>
                <w:color w:val="000000" w:themeColor="text1"/>
                <w:sz w:val="24"/>
                <w:szCs w:val="24"/>
                <w14:textFill>
                  <w14:solidFill>
                    <w14:schemeClr w14:val="tx1"/>
                  </w14:solidFill>
                </w14:textFill>
              </w:rPr>
              <w:t>2019年销售费用下滑，管理费用也未有增长的原因</w:t>
            </w:r>
            <w:r>
              <w:rPr>
                <w:rFonts w:hint="eastAsia" w:hAnsi="宋体"/>
                <w:b/>
                <w:bCs/>
                <w:iCs/>
                <w:color w:val="000000" w:themeColor="text1"/>
                <w:sz w:val="24"/>
                <w:szCs w:val="24"/>
                <w14:textFill>
                  <w14:solidFill>
                    <w14:schemeClr w14:val="tx1"/>
                  </w14:solidFill>
                </w14:textFill>
              </w:rPr>
              <w:t>？今后两年预计如何？</w:t>
            </w:r>
          </w:p>
          <w:p>
            <w:pPr>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bCs/>
                <w:iCs/>
                <w:color w:val="000000" w:themeColor="text1"/>
                <w:sz w:val="24"/>
                <w:szCs w:val="24"/>
                <w14:textFill>
                  <w14:solidFill>
                    <w14:schemeClr w14:val="tx1"/>
                  </w14:solidFill>
                </w14:textFill>
              </w:rPr>
              <w:t>公司销售费用下滑主要是因为非航空业务销售费用降低，销售费用是跟业务相关联和匹配的，管理费用没有增长主要是公司加强了内部控制、机构精简、三定等方面的管理。2020年中，公司会持续做三定和人员管理上的压缩和控制，节省下来的费用投入研发和未来发展中。</w:t>
            </w:r>
          </w:p>
          <w:p>
            <w:pPr>
              <w:widowControl/>
              <w:spacing w:line="480" w:lineRule="exact"/>
              <w:ind w:firstLine="482" w:firstLineChars="200"/>
              <w:jc w:val="left"/>
              <w:rPr>
                <w:rFonts w:hAnsi="宋体"/>
                <w:b/>
                <w:bCs/>
                <w:iCs/>
                <w:color w:val="000000" w:themeColor="text1"/>
                <w:sz w:val="24"/>
                <w:szCs w:val="24"/>
                <w:lang w:val="zh-CN"/>
                <w14:textFill>
                  <w14:solidFill>
                    <w14:schemeClr w14:val="tx1"/>
                  </w14:solidFill>
                </w14:textFill>
              </w:rPr>
            </w:pPr>
            <w:r>
              <w:rPr>
                <w:rFonts w:hint="eastAsia" w:hAnsi="宋体"/>
                <w:b/>
                <w:bCs/>
                <w:iCs/>
                <w:color w:val="000000" w:themeColor="text1"/>
                <w:sz w:val="24"/>
                <w:szCs w:val="24"/>
                <w14:textFill>
                  <w14:solidFill>
                    <w14:schemeClr w14:val="tx1"/>
                  </w14:solidFill>
                </w14:textFill>
              </w:rPr>
              <w:t>13</w:t>
            </w:r>
            <w:r>
              <w:rPr>
                <w:rFonts w:hint="eastAsia" w:hAnsi="宋体"/>
                <w:b/>
                <w:bCs/>
                <w:iCs/>
                <w:color w:val="000000" w:themeColor="text1"/>
                <w:sz w:val="24"/>
                <w:szCs w:val="24"/>
                <w:lang w:val="zh-TW"/>
                <w14:textFill>
                  <w14:solidFill>
                    <w14:schemeClr w14:val="tx1"/>
                  </w14:solidFill>
                </w14:textFill>
              </w:rPr>
              <w:t>.子公司</w:t>
            </w:r>
            <w:r>
              <w:rPr>
                <w:rFonts w:hint="eastAsia" w:hAnsi="宋体"/>
                <w:b/>
                <w:iCs/>
                <w:color w:val="000000" w:themeColor="text1"/>
                <w:sz w:val="24"/>
                <w:szCs w:val="24"/>
                <w14:textFill>
                  <w14:solidFill>
                    <w14:schemeClr w14:val="tx1"/>
                  </w14:solidFill>
                </w14:textFill>
              </w:rPr>
              <w:t>庆安2019年盈利水平低于大部分其它子公司，未来如何</w:t>
            </w:r>
            <w:r>
              <w:rPr>
                <w:rFonts w:hint="eastAsia" w:hAnsi="宋体"/>
                <w:b/>
                <w:bCs/>
                <w:iCs/>
                <w:color w:val="000000" w:themeColor="text1"/>
                <w:sz w:val="24"/>
                <w:szCs w:val="24"/>
                <w14:textFill>
                  <w14:solidFill>
                    <w14:schemeClr w14:val="tx1"/>
                  </w14:solidFill>
                </w14:textFill>
              </w:rPr>
              <w:t>？</w:t>
            </w:r>
          </w:p>
          <w:p>
            <w:pPr>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iCs/>
                <w:color w:val="000000" w:themeColor="text1"/>
                <w:sz w:val="24"/>
                <w:szCs w:val="24"/>
                <w14:textFill>
                  <w14:solidFill>
                    <w14:schemeClr w14:val="tx1"/>
                  </w14:solidFill>
                </w14:textFill>
              </w:rPr>
              <w:t>庆安是由于空调压缩机业务导致整体盈利能力下降。目前庆安的航空业务已取得了恢复式增长，且会一年比一年好，空调压缩机业务确实面临困难比较大，公司将继续聚焦航空业务，减小对上市公司产生的影响。</w:t>
            </w:r>
          </w:p>
          <w:p>
            <w:pPr>
              <w:widowControl/>
              <w:spacing w:line="480" w:lineRule="exact"/>
              <w:ind w:firstLine="482" w:firstLineChars="200"/>
              <w:jc w:val="left"/>
              <w:rPr>
                <w:rFonts w:hAnsi="宋体"/>
                <w:b/>
                <w:bCs/>
                <w:iCs/>
                <w:color w:val="000000" w:themeColor="text1"/>
                <w:sz w:val="24"/>
                <w:szCs w:val="24"/>
                <w:lang w:val="zh-CN"/>
                <w14:textFill>
                  <w14:solidFill>
                    <w14:schemeClr w14:val="tx1"/>
                  </w14:solidFill>
                </w14:textFill>
              </w:rPr>
            </w:pPr>
            <w:r>
              <w:rPr>
                <w:rFonts w:hint="eastAsia" w:hAnsi="宋体"/>
                <w:b/>
                <w:bCs/>
                <w:iCs/>
                <w:color w:val="000000" w:themeColor="text1"/>
                <w:sz w:val="24"/>
                <w:szCs w:val="24"/>
                <w14:textFill>
                  <w14:solidFill>
                    <w14:schemeClr w14:val="tx1"/>
                  </w14:solidFill>
                </w14:textFill>
              </w:rPr>
              <w:t>14</w:t>
            </w:r>
            <w:r>
              <w:rPr>
                <w:rFonts w:hint="eastAsia" w:hAnsi="宋体"/>
                <w:b/>
                <w:bCs/>
                <w:iCs/>
                <w:color w:val="000000" w:themeColor="text1"/>
                <w:sz w:val="24"/>
                <w:szCs w:val="24"/>
                <w:lang w:val="zh-TW"/>
                <w14:textFill>
                  <w14:solidFill>
                    <w14:schemeClr w14:val="tx1"/>
                  </w14:solidFill>
                </w14:textFill>
              </w:rPr>
              <w:t>.</w:t>
            </w:r>
            <w:r>
              <w:rPr>
                <w:rFonts w:hint="eastAsia" w:hAnsi="宋体"/>
                <w:b/>
                <w:iCs/>
                <w:color w:val="000000" w:themeColor="text1"/>
                <w:sz w:val="24"/>
                <w:szCs w:val="24"/>
                <w14:textFill>
                  <w14:solidFill>
                    <w14:schemeClr w14:val="tx1"/>
                  </w14:solidFill>
                </w14:textFill>
              </w:rPr>
              <w:t>公司回购股票用于什么用途</w:t>
            </w:r>
            <w:r>
              <w:rPr>
                <w:rFonts w:hint="eastAsia" w:hAnsi="宋体"/>
                <w:b/>
                <w:bCs/>
                <w:iCs/>
                <w:color w:val="000000" w:themeColor="text1"/>
                <w:sz w:val="24"/>
                <w:szCs w:val="24"/>
                <w14:textFill>
                  <w14:solidFill>
                    <w14:schemeClr w14:val="tx1"/>
                  </w14:solidFill>
                </w14:textFill>
              </w:rPr>
              <w:t>？</w:t>
            </w:r>
          </w:p>
          <w:p>
            <w:pPr>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iCs/>
                <w:color w:val="000000" w:themeColor="text1"/>
                <w:sz w:val="24"/>
                <w:szCs w:val="24"/>
                <w:lang w:val="zh-TW"/>
                <w14:textFill>
                  <w14:solidFill>
                    <w14:schemeClr w14:val="tx1"/>
                  </w14:solidFill>
                </w14:textFill>
              </w:rPr>
              <w:t>公司回购的股票用途为股权激励或员工持股计划、</w:t>
            </w:r>
            <w:r>
              <w:rPr>
                <w:rFonts w:hint="eastAsia" w:hAnsi="宋体"/>
                <w:iCs/>
                <w:color w:val="000000" w:themeColor="text1"/>
                <w:sz w:val="24"/>
                <w:szCs w:val="24"/>
                <w14:textFill>
                  <w14:solidFill>
                    <w14:schemeClr w14:val="tx1"/>
                  </w14:solidFill>
                </w14:textFill>
              </w:rPr>
              <w:t>转换公司发行的可转换为股票的公司债券</w:t>
            </w:r>
            <w:r>
              <w:rPr>
                <w:rFonts w:hint="eastAsia" w:hAnsi="宋体"/>
                <w:iCs/>
                <w:color w:val="000000" w:themeColor="text1"/>
                <w:sz w:val="24"/>
                <w:szCs w:val="24"/>
                <w:lang w:val="zh-TW"/>
                <w14:textFill>
                  <w14:solidFill>
                    <w14:schemeClr w14:val="tx1"/>
                  </w14:solidFill>
                </w14:textFill>
              </w:rPr>
              <w:t>，公司也在认真进行这方面的研究，如公司实施股权激励或员工持股计划、</w:t>
            </w:r>
            <w:r>
              <w:rPr>
                <w:rFonts w:hint="eastAsia" w:hAnsi="宋体"/>
                <w:iCs/>
                <w:color w:val="000000" w:themeColor="text1"/>
                <w:sz w:val="24"/>
                <w:szCs w:val="24"/>
                <w14:textFill>
                  <w14:solidFill>
                    <w14:schemeClr w14:val="tx1"/>
                  </w14:solidFill>
                </w14:textFill>
              </w:rPr>
              <w:t>转换公司发行的可转换为股票的公司债券</w:t>
            </w:r>
            <w:r>
              <w:rPr>
                <w:rFonts w:hint="eastAsia" w:hAnsi="宋体"/>
                <w:iCs/>
                <w:color w:val="000000" w:themeColor="text1"/>
                <w:sz w:val="24"/>
                <w:szCs w:val="24"/>
                <w:lang w:val="zh-TW"/>
                <w14:textFill>
                  <w14:solidFill>
                    <w14:schemeClr w14:val="tx1"/>
                  </w14:solidFill>
                </w14:textFill>
              </w:rPr>
              <w:t>，将会及时进行公告。</w:t>
            </w:r>
          </w:p>
          <w:p>
            <w:pPr>
              <w:widowControl/>
              <w:spacing w:line="480" w:lineRule="exact"/>
              <w:ind w:firstLine="482" w:firstLineChars="200"/>
              <w:jc w:val="left"/>
              <w:rPr>
                <w:rFonts w:hAnsi="宋体"/>
                <w:b/>
                <w:bCs/>
                <w:iCs/>
                <w:color w:val="000000" w:themeColor="text1"/>
                <w:sz w:val="24"/>
                <w:szCs w:val="24"/>
                <w14:textFill>
                  <w14:solidFill>
                    <w14:schemeClr w14:val="tx1"/>
                  </w14:solidFill>
                </w14:textFill>
              </w:rPr>
            </w:pPr>
            <w:r>
              <w:rPr>
                <w:rFonts w:hint="eastAsia" w:hAnsi="宋体"/>
                <w:b/>
                <w:bCs/>
                <w:iCs/>
                <w:color w:val="000000" w:themeColor="text1"/>
                <w:sz w:val="24"/>
                <w:szCs w:val="24"/>
                <w14:textFill>
                  <w14:solidFill>
                    <w14:schemeClr w14:val="tx1"/>
                  </w14:solidFill>
                </w14:textFill>
              </w:rPr>
              <w:t>15</w:t>
            </w:r>
            <w:r>
              <w:rPr>
                <w:rFonts w:hint="eastAsia" w:hAnsi="宋体"/>
                <w:b/>
                <w:bCs/>
                <w:iCs/>
                <w:color w:val="000000" w:themeColor="text1"/>
                <w:sz w:val="24"/>
                <w:szCs w:val="24"/>
                <w:lang w:val="zh-TW"/>
                <w14:textFill>
                  <w14:solidFill>
                    <w14:schemeClr w14:val="tx1"/>
                  </w14:solidFill>
                </w14:textFill>
              </w:rPr>
              <w:t>.</w:t>
            </w:r>
            <w:r>
              <w:rPr>
                <w:rFonts w:hint="eastAsia" w:hAnsi="宋体"/>
                <w:b/>
                <w:bCs/>
                <w:iCs/>
                <w:color w:val="000000" w:themeColor="text1"/>
                <w:sz w:val="24"/>
                <w:szCs w:val="24"/>
                <w14:textFill>
                  <w14:solidFill>
                    <w14:schemeClr w14:val="tx1"/>
                  </w14:solidFill>
                </w14:textFill>
              </w:rPr>
              <w:t>2019年托管费用下滑，主要原因是什么？</w:t>
            </w:r>
          </w:p>
          <w:p>
            <w:pPr>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iCs/>
                <w:color w:val="000000" w:themeColor="text1"/>
                <w:sz w:val="24"/>
                <w:szCs w:val="24"/>
                <w14:textFill>
                  <w14:solidFill>
                    <w14:schemeClr w14:val="tx1"/>
                  </w14:solidFill>
                </w14:textFill>
              </w:rPr>
              <w:t>主要是因为托管企业的范围进行了调整，比如新航等托管企业已进入公司体内，详见公司发布的相关公告。</w:t>
            </w:r>
          </w:p>
          <w:p>
            <w:pPr>
              <w:widowControl/>
              <w:spacing w:line="480" w:lineRule="exact"/>
              <w:ind w:firstLine="482" w:firstLineChars="200"/>
              <w:jc w:val="left"/>
              <w:rPr>
                <w:rFonts w:hAnsi="宋体"/>
                <w:b/>
                <w:bCs/>
                <w:iCs/>
                <w:color w:val="000000" w:themeColor="text1"/>
                <w:sz w:val="24"/>
                <w:szCs w:val="24"/>
                <w14:textFill>
                  <w14:solidFill>
                    <w14:schemeClr w14:val="tx1"/>
                  </w14:solidFill>
                </w14:textFill>
              </w:rPr>
            </w:pPr>
            <w:r>
              <w:rPr>
                <w:rFonts w:hint="eastAsia" w:hAnsi="宋体"/>
                <w:b/>
                <w:bCs/>
                <w:iCs/>
                <w:color w:val="000000" w:themeColor="text1"/>
                <w:sz w:val="24"/>
                <w:szCs w:val="24"/>
                <w14:textFill>
                  <w14:solidFill>
                    <w14:schemeClr w14:val="tx1"/>
                  </w14:solidFill>
                </w14:textFill>
              </w:rPr>
              <w:t>16</w:t>
            </w:r>
            <w:r>
              <w:rPr>
                <w:rFonts w:hint="eastAsia" w:hAnsi="宋体"/>
                <w:b/>
                <w:bCs/>
                <w:iCs/>
                <w:color w:val="000000" w:themeColor="text1"/>
                <w:sz w:val="24"/>
                <w:szCs w:val="24"/>
                <w:lang w:val="zh-TW"/>
                <w14:textFill>
                  <w14:solidFill>
                    <w14:schemeClr w14:val="tx1"/>
                  </w14:solidFill>
                </w14:textFill>
              </w:rPr>
              <w:t>.</w:t>
            </w:r>
            <w:r>
              <w:rPr>
                <w:rFonts w:hint="eastAsia" w:hAnsi="宋体"/>
                <w:b/>
                <w:bCs/>
                <w:iCs/>
                <w:color w:val="000000" w:themeColor="text1"/>
                <w:sz w:val="24"/>
                <w:szCs w:val="24"/>
                <w14:textFill>
                  <w14:solidFill>
                    <w14:schemeClr w14:val="tx1"/>
                  </w14:solidFill>
                </w14:textFill>
              </w:rPr>
              <w:t>2020年精机科技情况预计如何？</w:t>
            </w:r>
          </w:p>
          <w:p>
            <w:pPr>
              <w:widowControl/>
              <w:spacing w:line="480" w:lineRule="exact"/>
              <w:ind w:firstLine="480" w:firstLineChars="200"/>
              <w:jc w:val="left"/>
              <w:rPr>
                <w:rFonts w:hAnsi="宋体"/>
                <w:iCs/>
                <w:color w:val="000000" w:themeColor="text1"/>
                <w:sz w:val="24"/>
                <w:szCs w:val="24"/>
                <w14:textFill>
                  <w14:solidFill>
                    <w14:schemeClr w14:val="tx1"/>
                  </w14:solidFill>
                </w14:textFill>
              </w:rPr>
            </w:pPr>
            <w:r>
              <w:rPr>
                <w:rFonts w:hint="eastAsia" w:hAnsi="宋体"/>
                <w:iCs/>
                <w:color w:val="000000" w:themeColor="text1"/>
                <w:sz w:val="24"/>
                <w:szCs w:val="24"/>
                <w14:textFill>
                  <w14:solidFill>
                    <w14:schemeClr w14:val="tx1"/>
                  </w14:solidFill>
                </w14:textFill>
              </w:rPr>
              <w:t>从公司核心能力来看，目前的航空业务占比已经非常高，从2013年重组后的38%到2019年的70%，航空业务占比越来越高，精机科技汽车零部件业务占比逐步下降，对公司主业影响较小，如果非航空业务产生拖累，公司会采用相应措施。</w:t>
            </w:r>
          </w:p>
          <w:p>
            <w:pPr>
              <w:widowControl/>
              <w:spacing w:line="480" w:lineRule="exact"/>
              <w:ind w:firstLine="482" w:firstLineChars="200"/>
              <w:jc w:val="left"/>
              <w:rPr>
                <w:rFonts w:hAnsi="宋体"/>
                <w:b/>
                <w:bCs/>
                <w:iCs/>
                <w:color w:val="000000" w:themeColor="text1"/>
                <w:sz w:val="24"/>
                <w:szCs w:val="24"/>
                <w14:textFill>
                  <w14:solidFill>
                    <w14:schemeClr w14:val="tx1"/>
                  </w14:solidFill>
                </w14:textFill>
              </w:rPr>
            </w:pPr>
            <w:r>
              <w:rPr>
                <w:rFonts w:hint="eastAsia" w:hAnsi="宋体"/>
                <w:b/>
                <w:bCs/>
                <w:iCs/>
                <w:color w:val="000000" w:themeColor="text1"/>
                <w:sz w:val="24"/>
                <w:szCs w:val="24"/>
                <w14:textFill>
                  <w14:solidFill>
                    <w14:schemeClr w14:val="tx1"/>
                  </w14:solidFill>
                </w14:textFill>
              </w:rPr>
              <w:t>17</w:t>
            </w:r>
            <w:r>
              <w:rPr>
                <w:rFonts w:hint="eastAsia" w:hAnsi="宋体"/>
                <w:b/>
                <w:bCs/>
                <w:iCs/>
                <w:color w:val="000000" w:themeColor="text1"/>
                <w:sz w:val="24"/>
                <w:szCs w:val="24"/>
                <w:lang w:val="zh-TW"/>
                <w14:textFill>
                  <w14:solidFill>
                    <w14:schemeClr w14:val="tx1"/>
                  </w14:solidFill>
                </w14:textFill>
              </w:rPr>
              <w:t>.</w:t>
            </w:r>
            <w:r>
              <w:rPr>
                <w:rFonts w:hint="eastAsia" w:hAnsi="宋体"/>
                <w:b/>
                <w:bCs/>
                <w:iCs/>
                <w:color w:val="000000" w:themeColor="text1"/>
                <w:sz w:val="24"/>
                <w:szCs w:val="24"/>
                <w14:textFill>
                  <w14:solidFill>
                    <w14:schemeClr w14:val="tx1"/>
                  </w14:solidFill>
                </w14:textFill>
              </w:rPr>
              <w:t>预计2021年增速如何？</w:t>
            </w:r>
          </w:p>
          <w:p>
            <w:pPr>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iCs/>
                <w:color w:val="000000" w:themeColor="text1"/>
                <w:sz w:val="24"/>
                <w:szCs w:val="24"/>
                <w14:textFill>
                  <w14:solidFill>
                    <w14:schemeClr w14:val="tx1"/>
                  </w14:solidFill>
                </w14:textFill>
              </w:rPr>
              <w:t>根据目前的产品订单和计划看，公司2021年增速将比2020年高。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shd w:val="clear" w:color="auto" w:fill="auto"/>
            <w:vAlign w:val="center"/>
          </w:tcPr>
          <w:p>
            <w:pPr>
              <w:spacing w:line="480" w:lineRule="atLeast"/>
              <w:jc w:val="center"/>
              <w:rPr>
                <w:rFonts w:ascii="宋体" w:hAnsi="宋体"/>
                <w:b/>
                <w:bCs/>
                <w:iCs/>
                <w:color w:val="000000" w:themeColor="text1"/>
                <w:sz w:val="24"/>
                <w:szCs w:val="24"/>
                <w14:textFill>
                  <w14:solidFill>
                    <w14:schemeClr w14:val="tx1"/>
                  </w14:solidFill>
                </w14:textFill>
              </w:rPr>
            </w:pPr>
            <w:r>
              <w:rPr>
                <w:rFonts w:hint="eastAsia" w:ascii="宋体" w:hAnsi="宋体"/>
                <w:b/>
                <w:bCs/>
                <w:iCs/>
                <w:color w:val="000000" w:themeColor="text1"/>
                <w:sz w:val="24"/>
                <w:szCs w:val="24"/>
                <w14:textFill>
                  <w14:solidFill>
                    <w14:schemeClr w14:val="tx1"/>
                  </w14:solidFill>
                </w14:textFill>
              </w:rPr>
              <w:t>附件清单（如有）</w:t>
            </w:r>
          </w:p>
        </w:tc>
        <w:tc>
          <w:tcPr>
            <w:tcW w:w="8080" w:type="dxa"/>
            <w:shd w:val="clear" w:color="auto" w:fill="auto"/>
          </w:tcPr>
          <w:p>
            <w:pPr>
              <w:spacing w:line="480" w:lineRule="atLeast"/>
              <w:rPr>
                <w:rFonts w:ascii="宋体" w:hAnsi="宋体"/>
                <w:bCs/>
                <w:i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shd w:val="clear" w:color="auto" w:fill="auto"/>
            <w:vAlign w:val="center"/>
          </w:tcPr>
          <w:p>
            <w:pPr>
              <w:spacing w:line="480" w:lineRule="atLeast"/>
              <w:jc w:val="center"/>
              <w:rPr>
                <w:rFonts w:ascii="宋体" w:hAnsi="宋体"/>
                <w:b/>
                <w:bCs/>
                <w:iCs/>
                <w:color w:val="000000" w:themeColor="text1"/>
                <w:sz w:val="24"/>
                <w:szCs w:val="24"/>
                <w14:textFill>
                  <w14:solidFill>
                    <w14:schemeClr w14:val="tx1"/>
                  </w14:solidFill>
                </w14:textFill>
              </w:rPr>
            </w:pPr>
            <w:r>
              <w:rPr>
                <w:rFonts w:hint="eastAsia" w:ascii="宋体" w:hAnsi="宋体"/>
                <w:b/>
                <w:bCs/>
                <w:iCs/>
                <w:color w:val="000000" w:themeColor="text1"/>
                <w:sz w:val="24"/>
                <w:szCs w:val="24"/>
                <w14:textFill>
                  <w14:solidFill>
                    <w14:schemeClr w14:val="tx1"/>
                  </w14:solidFill>
                </w14:textFill>
              </w:rPr>
              <w:t>日期</w:t>
            </w:r>
          </w:p>
        </w:tc>
        <w:tc>
          <w:tcPr>
            <w:tcW w:w="8080" w:type="dxa"/>
            <w:shd w:val="clear" w:color="auto" w:fill="auto"/>
          </w:tcPr>
          <w:p>
            <w:pPr>
              <w:spacing w:line="480" w:lineRule="atLeast"/>
              <w:rPr>
                <w:bCs/>
                <w:iCs/>
                <w:color w:val="000000" w:themeColor="text1"/>
                <w:sz w:val="24"/>
                <w:szCs w:val="24"/>
                <w14:textFill>
                  <w14:solidFill>
                    <w14:schemeClr w14:val="tx1"/>
                  </w14:solidFill>
                </w14:textFill>
              </w:rPr>
            </w:pPr>
            <w:r>
              <w:rPr>
                <w:bCs/>
                <w:iCs/>
                <w:color w:val="000000" w:themeColor="text1"/>
                <w:sz w:val="24"/>
                <w:szCs w:val="24"/>
                <w14:textFill>
                  <w14:solidFill>
                    <w14:schemeClr w14:val="tx1"/>
                  </w14:solidFill>
                </w14:textFill>
              </w:rPr>
              <w:t>20</w:t>
            </w:r>
            <w:r>
              <w:rPr>
                <w:rFonts w:hint="eastAsia"/>
                <w:bCs/>
                <w:iCs/>
                <w:color w:val="000000" w:themeColor="text1"/>
                <w:sz w:val="24"/>
                <w:szCs w:val="24"/>
                <w14:textFill>
                  <w14:solidFill>
                    <w14:schemeClr w14:val="tx1"/>
                  </w14:solidFill>
                </w14:textFill>
              </w:rPr>
              <w:t>20</w:t>
            </w:r>
            <w:r>
              <w:rPr>
                <w:bCs/>
                <w:iCs/>
                <w:color w:val="000000" w:themeColor="text1"/>
                <w:sz w:val="24"/>
                <w:szCs w:val="24"/>
                <w14:textFill>
                  <w14:solidFill>
                    <w14:schemeClr w14:val="tx1"/>
                  </w14:solidFill>
                </w14:textFill>
              </w:rPr>
              <w:t>年</w:t>
            </w:r>
            <w:r>
              <w:rPr>
                <w:rFonts w:hint="eastAsia"/>
                <w:bCs/>
                <w:iCs/>
                <w:color w:val="000000" w:themeColor="text1"/>
                <w:sz w:val="24"/>
                <w:szCs w:val="24"/>
                <w14:textFill>
                  <w14:solidFill>
                    <w14:schemeClr w14:val="tx1"/>
                  </w14:solidFill>
                </w14:textFill>
              </w:rPr>
              <w:t>3</w:t>
            </w:r>
            <w:r>
              <w:rPr>
                <w:bCs/>
                <w:iCs/>
                <w:color w:val="000000" w:themeColor="text1"/>
                <w:sz w:val="24"/>
                <w:szCs w:val="24"/>
                <w14:textFill>
                  <w14:solidFill>
                    <w14:schemeClr w14:val="tx1"/>
                  </w14:solidFill>
                </w14:textFill>
              </w:rPr>
              <w:t>月</w:t>
            </w:r>
            <w:r>
              <w:rPr>
                <w:rFonts w:hint="eastAsia"/>
                <w:bCs/>
                <w:iCs/>
                <w:color w:val="000000" w:themeColor="text1"/>
                <w:sz w:val="24"/>
                <w:szCs w:val="24"/>
                <w14:textFill>
                  <w14:solidFill>
                    <w14:schemeClr w14:val="tx1"/>
                  </w14:solidFill>
                </w14:textFill>
              </w:rPr>
              <w:t>31</w:t>
            </w:r>
            <w:r>
              <w:rPr>
                <w:bCs/>
                <w:iCs/>
                <w:color w:val="000000" w:themeColor="text1"/>
                <w:sz w:val="24"/>
                <w:szCs w:val="24"/>
                <w14:textFill>
                  <w14:solidFill>
                    <w14:schemeClr w14:val="tx1"/>
                  </w14:solidFill>
                </w14:textFill>
              </w:rPr>
              <w:t>日</w:t>
            </w:r>
          </w:p>
        </w:tc>
      </w:tr>
    </w:tbl>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decorative"/>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54"/>
    <w:rsid w:val="00005088"/>
    <w:rsid w:val="00007121"/>
    <w:rsid w:val="00012EE1"/>
    <w:rsid w:val="0001675E"/>
    <w:rsid w:val="000169A5"/>
    <w:rsid w:val="0004175E"/>
    <w:rsid w:val="000471B9"/>
    <w:rsid w:val="000527C8"/>
    <w:rsid w:val="000528DC"/>
    <w:rsid w:val="00052CB2"/>
    <w:rsid w:val="00060DFE"/>
    <w:rsid w:val="00074B73"/>
    <w:rsid w:val="0008794F"/>
    <w:rsid w:val="00090157"/>
    <w:rsid w:val="000A04DA"/>
    <w:rsid w:val="000A39D1"/>
    <w:rsid w:val="000A5A32"/>
    <w:rsid w:val="000B0BE4"/>
    <w:rsid w:val="000B16AB"/>
    <w:rsid w:val="000C01F1"/>
    <w:rsid w:val="000C0EA8"/>
    <w:rsid w:val="000C45D4"/>
    <w:rsid w:val="000D150A"/>
    <w:rsid w:val="000D179D"/>
    <w:rsid w:val="000D4C05"/>
    <w:rsid w:val="000D4C69"/>
    <w:rsid w:val="000E3156"/>
    <w:rsid w:val="000F0AB9"/>
    <w:rsid w:val="000F0B74"/>
    <w:rsid w:val="000F6479"/>
    <w:rsid w:val="000F64DA"/>
    <w:rsid w:val="000F678C"/>
    <w:rsid w:val="000F7347"/>
    <w:rsid w:val="000F7C8E"/>
    <w:rsid w:val="001011AA"/>
    <w:rsid w:val="001054D7"/>
    <w:rsid w:val="00107E4C"/>
    <w:rsid w:val="00110B10"/>
    <w:rsid w:val="0011470F"/>
    <w:rsid w:val="00117DFF"/>
    <w:rsid w:val="00120333"/>
    <w:rsid w:val="001256E4"/>
    <w:rsid w:val="00145853"/>
    <w:rsid w:val="00146053"/>
    <w:rsid w:val="00147C29"/>
    <w:rsid w:val="00147FC8"/>
    <w:rsid w:val="00156A45"/>
    <w:rsid w:val="0015797F"/>
    <w:rsid w:val="00167CFA"/>
    <w:rsid w:val="00183023"/>
    <w:rsid w:val="00183E3F"/>
    <w:rsid w:val="001853B1"/>
    <w:rsid w:val="0018590B"/>
    <w:rsid w:val="00192D61"/>
    <w:rsid w:val="001A3991"/>
    <w:rsid w:val="001A78DD"/>
    <w:rsid w:val="001B18D3"/>
    <w:rsid w:val="001B4CEF"/>
    <w:rsid w:val="001C0C55"/>
    <w:rsid w:val="001C1453"/>
    <w:rsid w:val="001C1831"/>
    <w:rsid w:val="001C49CA"/>
    <w:rsid w:val="001C6AF0"/>
    <w:rsid w:val="001D795B"/>
    <w:rsid w:val="001F67FF"/>
    <w:rsid w:val="002058E9"/>
    <w:rsid w:val="0021228D"/>
    <w:rsid w:val="00221407"/>
    <w:rsid w:val="00225902"/>
    <w:rsid w:val="002263E7"/>
    <w:rsid w:val="002315F7"/>
    <w:rsid w:val="00232EA2"/>
    <w:rsid w:val="00240BD7"/>
    <w:rsid w:val="0024131C"/>
    <w:rsid w:val="00243349"/>
    <w:rsid w:val="0024568C"/>
    <w:rsid w:val="0025030D"/>
    <w:rsid w:val="0025190F"/>
    <w:rsid w:val="00252201"/>
    <w:rsid w:val="00252B20"/>
    <w:rsid w:val="002604B3"/>
    <w:rsid w:val="002631FE"/>
    <w:rsid w:val="002632BD"/>
    <w:rsid w:val="00263715"/>
    <w:rsid w:val="002637C6"/>
    <w:rsid w:val="0026381D"/>
    <w:rsid w:val="00271D62"/>
    <w:rsid w:val="002776D8"/>
    <w:rsid w:val="0028042C"/>
    <w:rsid w:val="002819D6"/>
    <w:rsid w:val="00284DC5"/>
    <w:rsid w:val="00292614"/>
    <w:rsid w:val="00293720"/>
    <w:rsid w:val="0029406E"/>
    <w:rsid w:val="002A707C"/>
    <w:rsid w:val="002B11D7"/>
    <w:rsid w:val="002B13CF"/>
    <w:rsid w:val="002B39FA"/>
    <w:rsid w:val="002B5234"/>
    <w:rsid w:val="002B536A"/>
    <w:rsid w:val="002D41FB"/>
    <w:rsid w:val="002E45D3"/>
    <w:rsid w:val="002E6E90"/>
    <w:rsid w:val="002F0C67"/>
    <w:rsid w:val="002F4640"/>
    <w:rsid w:val="00305479"/>
    <w:rsid w:val="00306C40"/>
    <w:rsid w:val="00314D0B"/>
    <w:rsid w:val="00334B9D"/>
    <w:rsid w:val="00335B06"/>
    <w:rsid w:val="003363AE"/>
    <w:rsid w:val="00337637"/>
    <w:rsid w:val="00346330"/>
    <w:rsid w:val="00347637"/>
    <w:rsid w:val="00350176"/>
    <w:rsid w:val="0037335B"/>
    <w:rsid w:val="00376F98"/>
    <w:rsid w:val="0038033D"/>
    <w:rsid w:val="0038105E"/>
    <w:rsid w:val="003826FF"/>
    <w:rsid w:val="003857B9"/>
    <w:rsid w:val="00385E4C"/>
    <w:rsid w:val="00392AC9"/>
    <w:rsid w:val="003A124F"/>
    <w:rsid w:val="003A4755"/>
    <w:rsid w:val="003B146D"/>
    <w:rsid w:val="003B2194"/>
    <w:rsid w:val="003B3996"/>
    <w:rsid w:val="003B6D24"/>
    <w:rsid w:val="003E4094"/>
    <w:rsid w:val="003E63E0"/>
    <w:rsid w:val="003F19B6"/>
    <w:rsid w:val="003F46B0"/>
    <w:rsid w:val="003F7839"/>
    <w:rsid w:val="00404687"/>
    <w:rsid w:val="00407B0F"/>
    <w:rsid w:val="00407CDD"/>
    <w:rsid w:val="0041205C"/>
    <w:rsid w:val="00412E8C"/>
    <w:rsid w:val="004169F3"/>
    <w:rsid w:val="004310C4"/>
    <w:rsid w:val="00437BAD"/>
    <w:rsid w:val="00443CC8"/>
    <w:rsid w:val="00451D6A"/>
    <w:rsid w:val="00452511"/>
    <w:rsid w:val="00452A2C"/>
    <w:rsid w:val="00472C35"/>
    <w:rsid w:val="004730FE"/>
    <w:rsid w:val="00473393"/>
    <w:rsid w:val="004735B7"/>
    <w:rsid w:val="004767E5"/>
    <w:rsid w:val="00482E38"/>
    <w:rsid w:val="0048304F"/>
    <w:rsid w:val="0048534F"/>
    <w:rsid w:val="004864A4"/>
    <w:rsid w:val="004916D4"/>
    <w:rsid w:val="004926BD"/>
    <w:rsid w:val="004A055C"/>
    <w:rsid w:val="004B4346"/>
    <w:rsid w:val="004C058D"/>
    <w:rsid w:val="004C2ABA"/>
    <w:rsid w:val="004C475A"/>
    <w:rsid w:val="004C5053"/>
    <w:rsid w:val="004D05E2"/>
    <w:rsid w:val="004D2EDF"/>
    <w:rsid w:val="004D43F5"/>
    <w:rsid w:val="004D714B"/>
    <w:rsid w:val="004E09B0"/>
    <w:rsid w:val="004E171D"/>
    <w:rsid w:val="004E30E0"/>
    <w:rsid w:val="004E4C9A"/>
    <w:rsid w:val="004E662C"/>
    <w:rsid w:val="004F1C8B"/>
    <w:rsid w:val="004F48E1"/>
    <w:rsid w:val="004F4A47"/>
    <w:rsid w:val="005023AC"/>
    <w:rsid w:val="0050322F"/>
    <w:rsid w:val="00513C86"/>
    <w:rsid w:val="005140E4"/>
    <w:rsid w:val="0051737D"/>
    <w:rsid w:val="005251EA"/>
    <w:rsid w:val="00526CD8"/>
    <w:rsid w:val="005330AA"/>
    <w:rsid w:val="005375C2"/>
    <w:rsid w:val="00540554"/>
    <w:rsid w:val="0054108A"/>
    <w:rsid w:val="00542E17"/>
    <w:rsid w:val="00546954"/>
    <w:rsid w:val="0055434B"/>
    <w:rsid w:val="0055784A"/>
    <w:rsid w:val="00560D18"/>
    <w:rsid w:val="00573513"/>
    <w:rsid w:val="005761B7"/>
    <w:rsid w:val="0058058D"/>
    <w:rsid w:val="00582557"/>
    <w:rsid w:val="00587A32"/>
    <w:rsid w:val="005A03EF"/>
    <w:rsid w:val="005B01A1"/>
    <w:rsid w:val="005B027B"/>
    <w:rsid w:val="005B2768"/>
    <w:rsid w:val="005B6CF5"/>
    <w:rsid w:val="005C195F"/>
    <w:rsid w:val="005C2304"/>
    <w:rsid w:val="005C2484"/>
    <w:rsid w:val="005C264B"/>
    <w:rsid w:val="005C2E98"/>
    <w:rsid w:val="005C3261"/>
    <w:rsid w:val="005C7C9C"/>
    <w:rsid w:val="005D25A4"/>
    <w:rsid w:val="005E6F54"/>
    <w:rsid w:val="005F2DBD"/>
    <w:rsid w:val="005F5734"/>
    <w:rsid w:val="005F63CF"/>
    <w:rsid w:val="006001E0"/>
    <w:rsid w:val="006002A2"/>
    <w:rsid w:val="00606289"/>
    <w:rsid w:val="00607658"/>
    <w:rsid w:val="00613CC5"/>
    <w:rsid w:val="00621552"/>
    <w:rsid w:val="00621D3B"/>
    <w:rsid w:val="00624E62"/>
    <w:rsid w:val="00633529"/>
    <w:rsid w:val="00634696"/>
    <w:rsid w:val="00647592"/>
    <w:rsid w:val="00660E04"/>
    <w:rsid w:val="00665805"/>
    <w:rsid w:val="0067611F"/>
    <w:rsid w:val="006827F8"/>
    <w:rsid w:val="00684660"/>
    <w:rsid w:val="006853A0"/>
    <w:rsid w:val="00686921"/>
    <w:rsid w:val="0068787F"/>
    <w:rsid w:val="00692814"/>
    <w:rsid w:val="00694660"/>
    <w:rsid w:val="0069621D"/>
    <w:rsid w:val="00697C6A"/>
    <w:rsid w:val="006A676E"/>
    <w:rsid w:val="006B1307"/>
    <w:rsid w:val="006B222E"/>
    <w:rsid w:val="006B6B40"/>
    <w:rsid w:val="006B73E0"/>
    <w:rsid w:val="006C1097"/>
    <w:rsid w:val="006C59FD"/>
    <w:rsid w:val="006D278B"/>
    <w:rsid w:val="006D3F98"/>
    <w:rsid w:val="006D4AFB"/>
    <w:rsid w:val="006E0B37"/>
    <w:rsid w:val="006E2621"/>
    <w:rsid w:val="006E2BDD"/>
    <w:rsid w:val="006E485F"/>
    <w:rsid w:val="006E6D78"/>
    <w:rsid w:val="006E7DDA"/>
    <w:rsid w:val="006F4074"/>
    <w:rsid w:val="00713D75"/>
    <w:rsid w:val="00715BDB"/>
    <w:rsid w:val="00727244"/>
    <w:rsid w:val="007313B4"/>
    <w:rsid w:val="00732EDE"/>
    <w:rsid w:val="007450FF"/>
    <w:rsid w:val="007460DC"/>
    <w:rsid w:val="00751F7D"/>
    <w:rsid w:val="007557B7"/>
    <w:rsid w:val="007615D5"/>
    <w:rsid w:val="0076735D"/>
    <w:rsid w:val="0076752B"/>
    <w:rsid w:val="00767CC9"/>
    <w:rsid w:val="00771443"/>
    <w:rsid w:val="00772972"/>
    <w:rsid w:val="00780CDF"/>
    <w:rsid w:val="0078145C"/>
    <w:rsid w:val="00781EA2"/>
    <w:rsid w:val="007827C9"/>
    <w:rsid w:val="00785FBC"/>
    <w:rsid w:val="00790488"/>
    <w:rsid w:val="0079517D"/>
    <w:rsid w:val="007A0BA5"/>
    <w:rsid w:val="007B5FC4"/>
    <w:rsid w:val="007B78C6"/>
    <w:rsid w:val="007C5717"/>
    <w:rsid w:val="007D014A"/>
    <w:rsid w:val="007D3E0F"/>
    <w:rsid w:val="007D5471"/>
    <w:rsid w:val="007F1DD0"/>
    <w:rsid w:val="00800B44"/>
    <w:rsid w:val="00802556"/>
    <w:rsid w:val="0080596D"/>
    <w:rsid w:val="00806EC4"/>
    <w:rsid w:val="00811614"/>
    <w:rsid w:val="0081256A"/>
    <w:rsid w:val="008151D6"/>
    <w:rsid w:val="008158E5"/>
    <w:rsid w:val="008158E8"/>
    <w:rsid w:val="00820A04"/>
    <w:rsid w:val="00823892"/>
    <w:rsid w:val="00823B70"/>
    <w:rsid w:val="0082454E"/>
    <w:rsid w:val="008252FF"/>
    <w:rsid w:val="0083340F"/>
    <w:rsid w:val="008345E9"/>
    <w:rsid w:val="00834B7D"/>
    <w:rsid w:val="008405DA"/>
    <w:rsid w:val="008466FE"/>
    <w:rsid w:val="00850D1B"/>
    <w:rsid w:val="0085769B"/>
    <w:rsid w:val="00862971"/>
    <w:rsid w:val="00862B16"/>
    <w:rsid w:val="00872BF3"/>
    <w:rsid w:val="00874F9C"/>
    <w:rsid w:val="00876D92"/>
    <w:rsid w:val="00877D00"/>
    <w:rsid w:val="0088785B"/>
    <w:rsid w:val="008915E0"/>
    <w:rsid w:val="00896F40"/>
    <w:rsid w:val="008A75C0"/>
    <w:rsid w:val="008B0DDA"/>
    <w:rsid w:val="008B73DF"/>
    <w:rsid w:val="008B7BC4"/>
    <w:rsid w:val="008C43B0"/>
    <w:rsid w:val="008C76BC"/>
    <w:rsid w:val="008D0672"/>
    <w:rsid w:val="008D2C36"/>
    <w:rsid w:val="008D3716"/>
    <w:rsid w:val="008D4FC4"/>
    <w:rsid w:val="008D6B05"/>
    <w:rsid w:val="008D716B"/>
    <w:rsid w:val="008D7B36"/>
    <w:rsid w:val="008E607A"/>
    <w:rsid w:val="008F14F2"/>
    <w:rsid w:val="008F2736"/>
    <w:rsid w:val="008F3AA4"/>
    <w:rsid w:val="00902A07"/>
    <w:rsid w:val="0090359A"/>
    <w:rsid w:val="00904624"/>
    <w:rsid w:val="00932B30"/>
    <w:rsid w:val="00933624"/>
    <w:rsid w:val="009342AC"/>
    <w:rsid w:val="00936492"/>
    <w:rsid w:val="009428BA"/>
    <w:rsid w:val="00943403"/>
    <w:rsid w:val="0094693D"/>
    <w:rsid w:val="0095126B"/>
    <w:rsid w:val="009534B8"/>
    <w:rsid w:val="00953767"/>
    <w:rsid w:val="00955DB1"/>
    <w:rsid w:val="00960057"/>
    <w:rsid w:val="009633CA"/>
    <w:rsid w:val="00963566"/>
    <w:rsid w:val="00963644"/>
    <w:rsid w:val="00963F5C"/>
    <w:rsid w:val="009664F6"/>
    <w:rsid w:val="00966819"/>
    <w:rsid w:val="0097097F"/>
    <w:rsid w:val="00973F7F"/>
    <w:rsid w:val="009840DA"/>
    <w:rsid w:val="00985E69"/>
    <w:rsid w:val="00990017"/>
    <w:rsid w:val="00997D8A"/>
    <w:rsid w:val="009A43D2"/>
    <w:rsid w:val="009D40AB"/>
    <w:rsid w:val="009E2C3B"/>
    <w:rsid w:val="009E7697"/>
    <w:rsid w:val="009F616B"/>
    <w:rsid w:val="00A0454F"/>
    <w:rsid w:val="00A13EB6"/>
    <w:rsid w:val="00A141B2"/>
    <w:rsid w:val="00A15C65"/>
    <w:rsid w:val="00A2145D"/>
    <w:rsid w:val="00A224B2"/>
    <w:rsid w:val="00A2254B"/>
    <w:rsid w:val="00A26084"/>
    <w:rsid w:val="00A2787E"/>
    <w:rsid w:val="00A308C4"/>
    <w:rsid w:val="00A33004"/>
    <w:rsid w:val="00A340EA"/>
    <w:rsid w:val="00A428B8"/>
    <w:rsid w:val="00A55103"/>
    <w:rsid w:val="00A619E7"/>
    <w:rsid w:val="00A6283E"/>
    <w:rsid w:val="00A62A1A"/>
    <w:rsid w:val="00A72E02"/>
    <w:rsid w:val="00A82041"/>
    <w:rsid w:val="00A824AA"/>
    <w:rsid w:val="00A90128"/>
    <w:rsid w:val="00A92EC4"/>
    <w:rsid w:val="00A946EE"/>
    <w:rsid w:val="00AA04B0"/>
    <w:rsid w:val="00AA14CF"/>
    <w:rsid w:val="00AB0954"/>
    <w:rsid w:val="00AC4A43"/>
    <w:rsid w:val="00AC4AA8"/>
    <w:rsid w:val="00AC4DA3"/>
    <w:rsid w:val="00AD1F5D"/>
    <w:rsid w:val="00AE4897"/>
    <w:rsid w:val="00AE4EF5"/>
    <w:rsid w:val="00AF0979"/>
    <w:rsid w:val="00AF1C83"/>
    <w:rsid w:val="00B0642C"/>
    <w:rsid w:val="00B06EFC"/>
    <w:rsid w:val="00B121A5"/>
    <w:rsid w:val="00B16399"/>
    <w:rsid w:val="00B17007"/>
    <w:rsid w:val="00B25BFD"/>
    <w:rsid w:val="00B26D8E"/>
    <w:rsid w:val="00B33CC1"/>
    <w:rsid w:val="00B349A3"/>
    <w:rsid w:val="00B35515"/>
    <w:rsid w:val="00B365E4"/>
    <w:rsid w:val="00B37463"/>
    <w:rsid w:val="00B45828"/>
    <w:rsid w:val="00B47D23"/>
    <w:rsid w:val="00B47E2C"/>
    <w:rsid w:val="00B53FD2"/>
    <w:rsid w:val="00B5729D"/>
    <w:rsid w:val="00B6023C"/>
    <w:rsid w:val="00B61F90"/>
    <w:rsid w:val="00B62018"/>
    <w:rsid w:val="00B72C3D"/>
    <w:rsid w:val="00B74C9C"/>
    <w:rsid w:val="00B756F5"/>
    <w:rsid w:val="00B81FBD"/>
    <w:rsid w:val="00B82327"/>
    <w:rsid w:val="00B84193"/>
    <w:rsid w:val="00B93260"/>
    <w:rsid w:val="00B941EA"/>
    <w:rsid w:val="00BA6635"/>
    <w:rsid w:val="00BA6E6F"/>
    <w:rsid w:val="00BB0B6D"/>
    <w:rsid w:val="00BB0E8C"/>
    <w:rsid w:val="00BB3510"/>
    <w:rsid w:val="00BB4B27"/>
    <w:rsid w:val="00BB73E1"/>
    <w:rsid w:val="00BC12C8"/>
    <w:rsid w:val="00BC4AB7"/>
    <w:rsid w:val="00BC4AC9"/>
    <w:rsid w:val="00BC5BD1"/>
    <w:rsid w:val="00BC6C32"/>
    <w:rsid w:val="00BD273A"/>
    <w:rsid w:val="00BE1D32"/>
    <w:rsid w:val="00BF3AED"/>
    <w:rsid w:val="00BF689A"/>
    <w:rsid w:val="00C1590F"/>
    <w:rsid w:val="00C15914"/>
    <w:rsid w:val="00C21395"/>
    <w:rsid w:val="00C25A35"/>
    <w:rsid w:val="00C33704"/>
    <w:rsid w:val="00C35DED"/>
    <w:rsid w:val="00C42493"/>
    <w:rsid w:val="00C45040"/>
    <w:rsid w:val="00C47B1F"/>
    <w:rsid w:val="00C534CB"/>
    <w:rsid w:val="00C53E62"/>
    <w:rsid w:val="00C61362"/>
    <w:rsid w:val="00C616FA"/>
    <w:rsid w:val="00C72291"/>
    <w:rsid w:val="00C73EB2"/>
    <w:rsid w:val="00C756A3"/>
    <w:rsid w:val="00C771E0"/>
    <w:rsid w:val="00C837C6"/>
    <w:rsid w:val="00C84AED"/>
    <w:rsid w:val="00C86ECD"/>
    <w:rsid w:val="00C86FC0"/>
    <w:rsid w:val="00C9523F"/>
    <w:rsid w:val="00C95948"/>
    <w:rsid w:val="00CB2CC5"/>
    <w:rsid w:val="00CC0F4A"/>
    <w:rsid w:val="00CC7FCE"/>
    <w:rsid w:val="00CD13DD"/>
    <w:rsid w:val="00CD2972"/>
    <w:rsid w:val="00CD3F14"/>
    <w:rsid w:val="00CD4542"/>
    <w:rsid w:val="00CD798F"/>
    <w:rsid w:val="00CE2BCC"/>
    <w:rsid w:val="00CE712A"/>
    <w:rsid w:val="00CE776D"/>
    <w:rsid w:val="00CF2D5C"/>
    <w:rsid w:val="00CF4994"/>
    <w:rsid w:val="00CF5F35"/>
    <w:rsid w:val="00D012B9"/>
    <w:rsid w:val="00D0206C"/>
    <w:rsid w:val="00D057B7"/>
    <w:rsid w:val="00D168B3"/>
    <w:rsid w:val="00D209D6"/>
    <w:rsid w:val="00D43A32"/>
    <w:rsid w:val="00D4746A"/>
    <w:rsid w:val="00D50030"/>
    <w:rsid w:val="00D56525"/>
    <w:rsid w:val="00D63C69"/>
    <w:rsid w:val="00D70DC1"/>
    <w:rsid w:val="00D81D41"/>
    <w:rsid w:val="00D8748B"/>
    <w:rsid w:val="00D92C55"/>
    <w:rsid w:val="00D93EDF"/>
    <w:rsid w:val="00DA44BA"/>
    <w:rsid w:val="00DA7356"/>
    <w:rsid w:val="00DB13DB"/>
    <w:rsid w:val="00DB4F07"/>
    <w:rsid w:val="00DC378A"/>
    <w:rsid w:val="00DC3F77"/>
    <w:rsid w:val="00DC68AD"/>
    <w:rsid w:val="00DC7368"/>
    <w:rsid w:val="00DD0B95"/>
    <w:rsid w:val="00DD3094"/>
    <w:rsid w:val="00DE0BF6"/>
    <w:rsid w:val="00DE4300"/>
    <w:rsid w:val="00DE7FCF"/>
    <w:rsid w:val="00DF45E7"/>
    <w:rsid w:val="00E03BEA"/>
    <w:rsid w:val="00E05DC6"/>
    <w:rsid w:val="00E11CDD"/>
    <w:rsid w:val="00E14F27"/>
    <w:rsid w:val="00E15235"/>
    <w:rsid w:val="00E1698B"/>
    <w:rsid w:val="00E172CC"/>
    <w:rsid w:val="00E22A92"/>
    <w:rsid w:val="00E5730A"/>
    <w:rsid w:val="00E60197"/>
    <w:rsid w:val="00E61580"/>
    <w:rsid w:val="00E76190"/>
    <w:rsid w:val="00E8104D"/>
    <w:rsid w:val="00E931ED"/>
    <w:rsid w:val="00E964DD"/>
    <w:rsid w:val="00EA0D7F"/>
    <w:rsid w:val="00EA187A"/>
    <w:rsid w:val="00EA38BC"/>
    <w:rsid w:val="00EA5A4C"/>
    <w:rsid w:val="00EA7ADF"/>
    <w:rsid w:val="00EB02F1"/>
    <w:rsid w:val="00EC72DF"/>
    <w:rsid w:val="00ED03E2"/>
    <w:rsid w:val="00ED31A6"/>
    <w:rsid w:val="00ED5B50"/>
    <w:rsid w:val="00EF56C4"/>
    <w:rsid w:val="00EF64D2"/>
    <w:rsid w:val="00F01D55"/>
    <w:rsid w:val="00F03718"/>
    <w:rsid w:val="00F05066"/>
    <w:rsid w:val="00F068C4"/>
    <w:rsid w:val="00F11FA5"/>
    <w:rsid w:val="00F13C79"/>
    <w:rsid w:val="00F173E1"/>
    <w:rsid w:val="00F215FC"/>
    <w:rsid w:val="00F27F1D"/>
    <w:rsid w:val="00F35BFF"/>
    <w:rsid w:val="00F36007"/>
    <w:rsid w:val="00F44AE8"/>
    <w:rsid w:val="00F45E57"/>
    <w:rsid w:val="00F51CEE"/>
    <w:rsid w:val="00F64D32"/>
    <w:rsid w:val="00F835DB"/>
    <w:rsid w:val="00F85596"/>
    <w:rsid w:val="00F865C2"/>
    <w:rsid w:val="00F914CD"/>
    <w:rsid w:val="00F94BE7"/>
    <w:rsid w:val="00F96022"/>
    <w:rsid w:val="00F9684D"/>
    <w:rsid w:val="00FA2DF7"/>
    <w:rsid w:val="00FA39AD"/>
    <w:rsid w:val="00FA7B1A"/>
    <w:rsid w:val="00FC0F8A"/>
    <w:rsid w:val="00FC29BB"/>
    <w:rsid w:val="00FD2E2A"/>
    <w:rsid w:val="00FE1AF9"/>
    <w:rsid w:val="00FE39DF"/>
    <w:rsid w:val="00FE3D25"/>
    <w:rsid w:val="00FE4615"/>
    <w:rsid w:val="00FF09A4"/>
    <w:rsid w:val="014A1BE5"/>
    <w:rsid w:val="04E247BA"/>
    <w:rsid w:val="08612B36"/>
    <w:rsid w:val="096634C4"/>
    <w:rsid w:val="0A286DF5"/>
    <w:rsid w:val="0CD70868"/>
    <w:rsid w:val="0D2C4A04"/>
    <w:rsid w:val="13422C2E"/>
    <w:rsid w:val="14C07404"/>
    <w:rsid w:val="165B607C"/>
    <w:rsid w:val="1D8B6A01"/>
    <w:rsid w:val="213C7DB9"/>
    <w:rsid w:val="21A9674C"/>
    <w:rsid w:val="21E14D80"/>
    <w:rsid w:val="252159E5"/>
    <w:rsid w:val="2D343A8C"/>
    <w:rsid w:val="31143652"/>
    <w:rsid w:val="35EE7675"/>
    <w:rsid w:val="37A84285"/>
    <w:rsid w:val="38344C45"/>
    <w:rsid w:val="38D408DB"/>
    <w:rsid w:val="3B704094"/>
    <w:rsid w:val="3D9E2AC5"/>
    <w:rsid w:val="3DA45D76"/>
    <w:rsid w:val="3DB47402"/>
    <w:rsid w:val="3E1E3137"/>
    <w:rsid w:val="3EF64716"/>
    <w:rsid w:val="435231CD"/>
    <w:rsid w:val="453301B5"/>
    <w:rsid w:val="498E291C"/>
    <w:rsid w:val="49FC5BE8"/>
    <w:rsid w:val="4A065988"/>
    <w:rsid w:val="4B1E0E01"/>
    <w:rsid w:val="4D68053C"/>
    <w:rsid w:val="510310BE"/>
    <w:rsid w:val="5125271A"/>
    <w:rsid w:val="51DA5E27"/>
    <w:rsid w:val="529C529B"/>
    <w:rsid w:val="52FB5D0E"/>
    <w:rsid w:val="545C3CF3"/>
    <w:rsid w:val="54F9306B"/>
    <w:rsid w:val="56AD449E"/>
    <w:rsid w:val="5BD93703"/>
    <w:rsid w:val="5E0176FC"/>
    <w:rsid w:val="63E879E4"/>
    <w:rsid w:val="67303B2E"/>
    <w:rsid w:val="69D812BA"/>
    <w:rsid w:val="6B854CF1"/>
    <w:rsid w:val="6D61375E"/>
    <w:rsid w:val="6F8F01D2"/>
    <w:rsid w:val="706D7D71"/>
    <w:rsid w:val="73933E6B"/>
    <w:rsid w:val="74BD105B"/>
    <w:rsid w:val="769A61C5"/>
    <w:rsid w:val="76ED25B8"/>
    <w:rsid w:val="7810128F"/>
    <w:rsid w:val="78D904AA"/>
    <w:rsid w:val="7AEA388B"/>
    <w:rsid w:val="7B643073"/>
    <w:rsid w:val="7B7046EE"/>
    <w:rsid w:val="7BDB13BE"/>
    <w:rsid w:val="7C1D50BB"/>
    <w:rsid w:val="7C9D5016"/>
    <w:rsid w:val="7DE43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字符"/>
    <w:basedOn w:val="7"/>
    <w:link w:val="4"/>
    <w:qFormat/>
    <w:uiPriority w:val="99"/>
    <w:rPr>
      <w:rFonts w:ascii="Times New Roman" w:hAnsi="Times New Roman" w:eastAsia="宋体" w:cs="Times New Roman"/>
      <w:sz w:val="18"/>
      <w:szCs w:val="18"/>
    </w:rPr>
  </w:style>
  <w:style w:type="character" w:customStyle="1" w:styleId="9">
    <w:name w:val="页脚 字符"/>
    <w:basedOn w:val="7"/>
    <w:link w:val="3"/>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2">
    <w:name w:val="批注框文本 字符"/>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D91155-DC12-45AD-B287-E0A196D8415B}">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6</Pages>
  <Words>620</Words>
  <Characters>3538</Characters>
  <Lines>29</Lines>
  <Paragraphs>8</Paragraphs>
  <TotalTime>192</TotalTime>
  <ScaleCrop>false</ScaleCrop>
  <LinksUpToDate>false</LinksUpToDate>
  <CharactersWithSpaces>4150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2020-02-20T07:41:00Z</dcterms:created>
  <dc:creator>avicpub</dc:creator>
  <cp:lastModifiedBy>张伟</cp:lastModifiedBy>
  <cp:lastPrinted>2020-02-20T07:21:00Z</cp:lastPrinted>
  <dcterms:modified xsi:type="dcterms:W3CDTF">2020-03-31T13:26:59Z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_DocHome">
    <vt:i4>-1890169205</vt:i4>
  </property>
</Properties>
</file>