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themeColor="text1"/>
          <w:sz w:val="24"/>
          <w14:textFill>
            <w14:solidFill>
              <w14:schemeClr w14:val="tx1"/>
            </w14:solidFill>
          </w14:textFill>
        </w:rPr>
      </w:pPr>
      <w:r>
        <w:rPr>
          <w:rFonts w:hint="eastAsia" w:ascii="宋体" w:hAnsi="宋体"/>
          <w:bCs/>
          <w:iCs/>
          <w:color w:val="000000" w:themeColor="text1"/>
          <w:sz w:val="24"/>
          <w14:textFill>
            <w14:solidFill>
              <w14:schemeClr w14:val="tx1"/>
            </w14:solidFill>
          </w14:textFill>
        </w:rPr>
        <w:t>证券代码：002013                                   证券简称：中航机电</w:t>
      </w:r>
    </w:p>
    <w:p>
      <w:pPr>
        <w:spacing w:before="156" w:beforeLines="50" w:after="156" w:afterLines="50" w:line="400" w:lineRule="exact"/>
        <w:jc w:val="center"/>
        <w:rPr>
          <w:rFonts w:ascii="宋体" w:hAnsi="宋体"/>
          <w:b/>
          <w:bCs/>
          <w:iCs/>
          <w:color w:val="000000" w:themeColor="text1"/>
          <w:sz w:val="30"/>
          <w:szCs w:val="30"/>
          <w14:textFill>
            <w14:solidFill>
              <w14:schemeClr w14:val="tx1"/>
            </w14:solidFill>
          </w14:textFill>
        </w:rPr>
      </w:pPr>
      <w:r>
        <w:rPr>
          <w:rFonts w:hint="eastAsia" w:ascii="宋体" w:hAnsi="宋体"/>
          <w:b/>
          <w:bCs/>
          <w:iCs/>
          <w:color w:val="000000" w:themeColor="text1"/>
          <w:sz w:val="30"/>
          <w:szCs w:val="30"/>
          <w14:textFill>
            <w14:solidFill>
              <w14:schemeClr w14:val="tx1"/>
            </w14:solidFill>
          </w14:textFill>
        </w:rPr>
        <w:t>中航工业机电系统股份有限公司</w:t>
      </w:r>
    </w:p>
    <w:p>
      <w:pPr>
        <w:spacing w:before="156" w:beforeLines="50" w:after="156" w:afterLines="50" w:line="400" w:lineRule="exact"/>
        <w:jc w:val="center"/>
        <w:rPr>
          <w:rFonts w:ascii="宋体" w:hAnsi="宋体"/>
          <w:b/>
          <w:bCs/>
          <w:iCs/>
          <w:color w:val="000000" w:themeColor="text1"/>
          <w:sz w:val="30"/>
          <w:szCs w:val="30"/>
          <w14:textFill>
            <w14:solidFill>
              <w14:schemeClr w14:val="tx1"/>
            </w14:solidFill>
          </w14:textFill>
        </w:rPr>
      </w:pPr>
      <w:r>
        <w:rPr>
          <w:rFonts w:hint="eastAsia" w:ascii="宋体" w:hAnsi="宋体"/>
          <w:b/>
          <w:bCs/>
          <w:iCs/>
          <w:color w:val="000000" w:themeColor="text1"/>
          <w:sz w:val="30"/>
          <w:szCs w:val="30"/>
          <w14:textFill>
            <w14:solidFill>
              <w14:schemeClr w14:val="tx1"/>
            </w14:solidFill>
          </w14:textFill>
        </w:rPr>
        <w:t>投资者关系活动记录表</w:t>
      </w:r>
    </w:p>
    <w:p>
      <w:pPr>
        <w:spacing w:line="400" w:lineRule="exac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 xml:space="preserve">                                                      编号：2020-005</w:t>
      </w:r>
    </w:p>
    <w:tbl>
      <w:tblPr>
        <w:tblStyle w:val="6"/>
        <w:tblW w:w="9498"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8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投资者关系活动类别</w:t>
            </w:r>
          </w:p>
          <w:p>
            <w:pPr>
              <w:spacing w:line="480" w:lineRule="atLeast"/>
              <w:jc w:val="center"/>
              <w:rPr>
                <w:rFonts w:ascii="宋体" w:hAnsi="宋体"/>
                <w:b/>
                <w:bCs/>
                <w:iCs/>
                <w:color w:val="000000" w:themeColor="text1"/>
                <w:sz w:val="24"/>
                <w:szCs w:val="24"/>
                <w14:textFill>
                  <w14:solidFill>
                    <w14:schemeClr w14:val="tx1"/>
                  </w14:solidFill>
                </w14:textFill>
              </w:rPr>
            </w:pPr>
          </w:p>
        </w:tc>
        <w:tc>
          <w:tcPr>
            <w:tcW w:w="8080" w:type="dxa"/>
            <w:shd w:val="clear" w:color="auto" w:fill="auto"/>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sym w:font="Wingdings 2" w:char="0052"/>
            </w:r>
            <w:r>
              <w:rPr>
                <w:rFonts w:hint="eastAsia" w:ascii="宋体" w:hAnsi="宋体"/>
                <w:color w:val="000000" w:themeColor="text1"/>
                <w:sz w:val="24"/>
                <w:szCs w:val="24"/>
                <w14:textFill>
                  <w14:solidFill>
                    <w14:schemeClr w14:val="tx1"/>
                  </w14:solidFill>
                </w14:textFill>
              </w:rPr>
              <w:t xml:space="preserve">特定对象调研        </w:t>
            </w: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分析师会议</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媒体采访            </w:t>
            </w:r>
            <w:r>
              <w:rPr>
                <w:rFonts w:hint="eastAsia" w:ascii="宋体" w:hAnsi="宋体"/>
                <w:bCs/>
                <w:iCs/>
                <w:color w:val="000000" w:themeColor="text1"/>
                <w:sz w:val="24"/>
                <w:szCs w:val="24"/>
                <w14:textFill>
                  <w14:solidFill>
                    <w14:schemeClr w14:val="tx1"/>
                  </w14:solidFill>
                </w14:textFill>
              </w:rPr>
              <w:sym w:font="Wingdings 2" w:char="00A3"/>
            </w:r>
            <w:r>
              <w:rPr>
                <w:rFonts w:hint="eastAsia" w:ascii="宋体" w:hAnsi="宋体"/>
                <w:color w:val="000000" w:themeColor="text1"/>
                <w:sz w:val="24"/>
                <w:szCs w:val="24"/>
                <w14:textFill>
                  <w14:solidFill>
                    <w14:schemeClr w14:val="tx1"/>
                  </w14:solidFill>
                </w14:textFill>
              </w:rPr>
              <w:t>业绩说明会</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 xml:space="preserve">新闻发布会          </w:t>
            </w: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路演活动</w:t>
            </w:r>
          </w:p>
          <w:p>
            <w:pPr>
              <w:tabs>
                <w:tab w:val="left" w:pos="3045"/>
                <w:tab w:val="center" w:pos="3199"/>
              </w:tabs>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现场参观</w:t>
            </w:r>
            <w:r>
              <w:rPr>
                <w:rFonts w:ascii="宋体" w:hAnsi="宋体"/>
                <w:bCs/>
                <w:iCs/>
                <w:color w:val="000000" w:themeColor="text1"/>
                <w:sz w:val="24"/>
                <w:szCs w:val="24"/>
                <w14:textFill>
                  <w14:solidFill>
                    <w14:schemeClr w14:val="tx1"/>
                  </w14:solidFill>
                </w14:textFill>
              </w:rPr>
              <w:tab/>
            </w:r>
          </w:p>
          <w:p>
            <w:pPr>
              <w:tabs>
                <w:tab w:val="center" w:pos="3199"/>
              </w:tabs>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w:t>
            </w:r>
            <w:r>
              <w:rPr>
                <w:rFonts w:hint="eastAsia" w:ascii="宋体" w:hAnsi="宋体"/>
                <w:color w:val="000000" w:themeColor="text1"/>
                <w:sz w:val="24"/>
                <w:szCs w:val="24"/>
                <w14:textFill>
                  <w14:solidFill>
                    <w14:schemeClr w14:val="tx1"/>
                  </w14:solidFill>
                </w14:textFill>
              </w:rPr>
              <w:t>其他 （</w:t>
            </w:r>
            <w:r>
              <w:rPr>
                <w:rFonts w:hint="eastAsia" w:ascii="宋体" w:hAnsi="宋体"/>
                <w:color w:val="000000" w:themeColor="text1"/>
                <w:sz w:val="24"/>
                <w:szCs w:val="24"/>
                <w:u w:val="single"/>
                <w14:textFill>
                  <w14:solidFill>
                    <w14:schemeClr w14:val="tx1"/>
                  </w14:solidFill>
                </w14:textFill>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参与单位名称及人员姓名</w:t>
            </w:r>
          </w:p>
        </w:tc>
        <w:tc>
          <w:tcPr>
            <w:tcW w:w="8080" w:type="dxa"/>
            <w:shd w:val="clear" w:color="auto" w:fill="auto"/>
            <w:vAlign w:val="center"/>
          </w:tcPr>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华泰证券：王宗超、何亮；大成基金：肖文瀚、黎新平；中庚基金：陈涛；</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泰康资产：徐星月；深圳红筹：彭昭昱；天风资管：范伊歌；</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红线资本：周娜；百济投资：金榜；深圳前海经纬寰宇：刘钊伟；</w:t>
            </w:r>
          </w:p>
          <w:p>
            <w:pPr>
              <w:spacing w:line="480" w:lineRule="atLeast"/>
              <w:jc w:val="lef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恒基伟业：曾吉庆；东北证券：陈鼎如；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时间</w:t>
            </w:r>
          </w:p>
        </w:tc>
        <w:tc>
          <w:tcPr>
            <w:tcW w:w="8080" w:type="dxa"/>
            <w:shd w:val="clear" w:color="auto" w:fill="auto"/>
            <w:vAlign w:val="center"/>
          </w:tcPr>
          <w:p>
            <w:pPr>
              <w:spacing w:line="480" w:lineRule="atLeast"/>
              <w:rPr>
                <w:bCs/>
                <w:iCs/>
                <w:color w:val="000000" w:themeColor="text1"/>
                <w:sz w:val="24"/>
                <w:szCs w:val="24"/>
                <w14:textFill>
                  <w14:solidFill>
                    <w14:schemeClr w14:val="tx1"/>
                  </w14:solidFill>
                </w14:textFill>
              </w:rPr>
            </w:pP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rFonts w:hAnsi="宋体"/>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3</w:t>
            </w:r>
            <w:r>
              <w:rPr>
                <w:rFonts w:hAnsi="宋体"/>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31</w:t>
            </w:r>
            <w:r>
              <w:rPr>
                <w:rFonts w:hint="eastAsia" w:hAnsi="宋体"/>
                <w:bCs/>
                <w:iCs/>
                <w:color w:val="000000" w:themeColor="text1"/>
                <w:sz w:val="24"/>
                <w:szCs w:val="24"/>
                <w14:textFill>
                  <w14:solidFill>
                    <w14:schemeClr w14:val="tx1"/>
                  </w14:solidFill>
                </w14:textFill>
              </w:rPr>
              <w:t>日15</w:t>
            </w:r>
            <w:r>
              <w:rPr>
                <w:rFonts w:hAnsi="宋体"/>
                <w:bCs/>
                <w:iCs/>
                <w:color w:val="000000" w:themeColor="text1"/>
                <w:sz w:val="24"/>
                <w:szCs w:val="24"/>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地点</w:t>
            </w:r>
          </w:p>
        </w:tc>
        <w:tc>
          <w:tcPr>
            <w:tcW w:w="8080" w:type="dxa"/>
            <w:shd w:val="clear" w:color="auto" w:fill="auto"/>
            <w:vAlign w:val="center"/>
          </w:tcPr>
          <w:p>
            <w:pPr>
              <w:spacing w:line="480" w:lineRule="atLeast"/>
              <w:rPr>
                <w:bCs/>
                <w:iCs/>
                <w:color w:val="000000" w:themeColor="text1"/>
                <w:sz w:val="24"/>
                <w:szCs w:val="24"/>
                <w14:textFill>
                  <w14:solidFill>
                    <w14:schemeClr w14:val="tx1"/>
                  </w14:solidFill>
                </w14:textFill>
              </w:rPr>
            </w:pPr>
            <w:r>
              <w:rPr>
                <w:rFonts w:hint="eastAsia"/>
                <w:bCs/>
                <w:iCs/>
                <w:color w:val="000000" w:themeColor="text1"/>
                <w:sz w:val="24"/>
                <w:szCs w:val="24"/>
                <w14:textFill>
                  <w14:solidFill>
                    <w14:schemeClr w14:val="tx1"/>
                  </w14:solidFill>
                </w14:textFill>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上市公司接待人员姓名</w:t>
            </w:r>
          </w:p>
        </w:tc>
        <w:tc>
          <w:tcPr>
            <w:tcW w:w="8080" w:type="dxa"/>
            <w:shd w:val="clear" w:color="auto" w:fill="auto"/>
            <w:vAlign w:val="center"/>
          </w:tcPr>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董事会秘书：夏保琪       计划财务部部长：韩枫</w:t>
            </w:r>
          </w:p>
          <w:p>
            <w:pPr>
              <w:spacing w:line="480" w:lineRule="atLeast"/>
              <w:rPr>
                <w:rFonts w:ascii="宋体" w:hAnsi="宋体"/>
                <w:bCs/>
                <w:iCs/>
                <w:color w:val="000000" w:themeColor="text1"/>
                <w:sz w:val="24"/>
                <w:szCs w:val="24"/>
                <w14:textFill>
                  <w14:solidFill>
                    <w14:schemeClr w14:val="tx1"/>
                  </w14:solidFill>
                </w14:textFill>
              </w:rPr>
            </w:pPr>
            <w:r>
              <w:rPr>
                <w:rFonts w:hint="eastAsia" w:ascii="宋体" w:hAnsi="宋体"/>
                <w:bCs/>
                <w:iCs/>
                <w:color w:val="000000" w:themeColor="text1"/>
                <w:sz w:val="24"/>
                <w:szCs w:val="24"/>
                <w14:textFill>
                  <w14:solidFill>
                    <w14:schemeClr w14:val="tx1"/>
                  </w14:solidFill>
                </w14:textFill>
              </w:rPr>
              <w:t>证券事务部部长：李静     证券事务部：张伟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投资者关系活动主要内容介绍</w:t>
            </w:r>
          </w:p>
          <w:p>
            <w:pPr>
              <w:spacing w:line="480" w:lineRule="atLeast"/>
              <w:jc w:val="center"/>
              <w:rPr>
                <w:rFonts w:ascii="宋体" w:hAnsi="宋体"/>
                <w:b/>
                <w:bCs/>
                <w:iCs/>
                <w:color w:val="000000" w:themeColor="text1"/>
                <w:sz w:val="24"/>
                <w:szCs w:val="24"/>
                <w14:textFill>
                  <w14:solidFill>
                    <w14:schemeClr w14:val="tx1"/>
                  </w14:solidFill>
                </w14:textFill>
              </w:rPr>
            </w:pPr>
          </w:p>
        </w:tc>
        <w:tc>
          <w:tcPr>
            <w:tcW w:w="8080" w:type="dxa"/>
            <w:shd w:val="clear" w:color="auto" w:fill="auto"/>
          </w:tcPr>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2019年公司实现营业收入121.31亿元，利润总额12.45亿元，归母净利润9.61亿元，分别较2018年调整后的同比口径分别增长了2.98%、9.65%和12.44%。、航空产品收入占比69.05%，同比增长11.04%；非航空产品收入占比30.02%，同比下降11.23%。</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Ansi="宋体"/>
                <w:bCs/>
                <w:iCs/>
                <w:color w:val="000000" w:themeColor="text1"/>
                <w:sz w:val="24"/>
                <w:szCs w:val="24"/>
                <w14:textFill>
                  <w14:solidFill>
                    <w14:schemeClr w14:val="tx1"/>
                  </w14:solidFill>
                </w14:textFill>
              </w:rPr>
              <w:t>公司逐渐形成了体制机制、行业标准、平台整合、研发能力、智能制造、试验验证等六个方面的核心竞争力，促进公司进入持续发展的上升通道</w:t>
            </w:r>
            <w:r>
              <w:rPr>
                <w:rFonts w:hint="eastAsia" w:hAnsi="宋体"/>
                <w:bCs/>
                <w:iCs/>
                <w:color w:val="000000" w:themeColor="text1"/>
                <w:sz w:val="24"/>
                <w:szCs w:val="24"/>
                <w14:textFill>
                  <w14:solidFill>
                    <w14:schemeClr w14:val="tx1"/>
                  </w14:solidFill>
                </w14:textFill>
              </w:rPr>
              <w:t>。</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体质机制方面，直接控股股东中航机载系统有限公司被列入国务院国资委的“双百行动”企业，集团公司航空工业作为国有资本投资试点是第一个改革的商业二类企业，这些对公司今后的改革等各方面都具有很大的推进和指导意义。</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行业标准方面，公司在军用航空电源、燃油、环控、液压、悬挂发射等专业领域建立起了较为完备的专业技术体系，主编了相关行业国家标准17项、国家军用标准39项及行业标准若干，充分体现了行业领导地位。</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平台整合方面，公司作为航空工业唯一的机电系统平台，这几年陆续开展了12家航空机电企业的资产整合工作，去年完成了收购南京航健和增资宏光装备。从2012年重组完成合并报表之后，航空军品业务收入从2013年的24.45亿元，逐年提升至2019年的83.77亿元，公司航空主业占比从36%提升至70%；民机方面，公司参与国内民用飞机C919、蛟龙600、MA700等21种机型机载产品的研制工作，公司与GE-AS、Parker、UTAS、Honeywell等多家世界航空机载设备知名企业建立了长期合作关系。</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研发能力方面，公司所属企业拥有国家级企业技术中心4家，省级企业技术中心6家，拥有多个航空产品研究所和博士后流动工作站，拥有较为完备的研发流程及研发体系，在国内同行业中处于绝对的领先地位。</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智能制造方面，公司在精益生产和智能制造上做了很多尝试，对于传感、控制、检测等做到了管理一体化、信息一体化、生产自动化，部分子公司已建成24小时无人值守的“黑灯工厂”，生产加工已能够进入到无人化的状态。</w:t>
            </w:r>
          </w:p>
          <w:p>
            <w:pPr>
              <w:widowControl/>
              <w:numPr>
                <w:ilvl w:val="0"/>
                <w:numId w:val="1"/>
              </w:num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试验验证方面，公司通过一系列的方法取得了各方面的认证，包括民机认证，目前子公司航空工业电源已取得中国民航局发的C</w:t>
            </w:r>
            <w:r>
              <w:rPr>
                <w:rFonts w:hAnsi="宋体"/>
                <w:bCs/>
                <w:iCs/>
                <w:color w:val="000000" w:themeColor="text1"/>
                <w:sz w:val="24"/>
                <w:szCs w:val="24"/>
                <w14:textFill>
                  <w14:solidFill>
                    <w14:schemeClr w14:val="tx1"/>
                  </w14:solidFill>
                </w14:textFill>
              </w:rPr>
              <w:t>919</w:t>
            </w:r>
            <w:r>
              <w:rPr>
                <w:rFonts w:hint="eastAsia" w:hAnsi="宋体"/>
                <w:bCs/>
                <w:iCs/>
                <w:color w:val="000000" w:themeColor="text1"/>
                <w:sz w:val="24"/>
                <w:szCs w:val="24"/>
                <w14:textFill>
                  <w14:solidFill>
                    <w14:schemeClr w14:val="tx1"/>
                  </w14:solidFill>
                </w14:textFill>
              </w:rPr>
              <w:t>电源系统某产品的首个适航标签。</w:t>
            </w:r>
            <w:bookmarkStart w:id="0" w:name="_GoBack"/>
            <w:bookmarkEnd w:id="0"/>
          </w:p>
          <w:p>
            <w:pPr>
              <w:widowControl/>
              <w:spacing w:line="480" w:lineRule="exact"/>
              <w:ind w:firstLine="480" w:firstLineChars="200"/>
              <w:jc w:val="left"/>
              <w:rPr>
                <w:rFonts w:hAnsi="宋体"/>
                <w:bCs/>
                <w:iCs/>
                <w:color w:val="000000" w:themeColor="text1"/>
                <w:sz w:val="24"/>
                <w:szCs w:val="24"/>
                <w:lang w:val="zh-CN"/>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的未来发展主要在三个方面：一是军用航空，公司作为行业内的领导企业，收入从2013年24.45亿到2019年的83.77亿，预计五年左右还会再翻一番，达到150亿左右；二是民用航空，随着C919定型和交付，航空机电产品在民机收入上的增长也有着非常广阔的空间；三是维修和备件，公司从去年加大了对维修的重视程度，并在年底</w:t>
            </w:r>
            <w:r>
              <w:rPr>
                <w:rFonts w:hint="eastAsia" w:hAnsi="宋体"/>
                <w:bCs/>
                <w:iCs/>
                <w:color w:val="000000" w:themeColor="text1"/>
                <w:sz w:val="24"/>
                <w:szCs w:val="24"/>
                <w:lang w:val="zh-CN"/>
                <w14:textFill>
                  <w14:solidFill>
                    <w14:schemeClr w14:val="tx1"/>
                  </w14:solidFill>
                </w14:textFill>
              </w:rPr>
              <w:t>实现了对南京航健的并购，也不排除南京航健今后也会出现跨越式发展，比如说并购或者说拓展，寻求更广阔的空间。</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从公司发展整体情况来看，公司一直希望实现三个大体相当：军品民品收入大体相当；国内国外收入大体相当；产品交付和维修备件收入大体相当。若实现其中任意一个，公司的产值和利润等至少翻一番。</w:t>
            </w:r>
          </w:p>
          <w:p>
            <w:pPr>
              <w:widowControl/>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 xml:space="preserve">  </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1.2019年公司军品业务增长了11%，汽车业务有所下滑，今年受疫情影响，今年的业务和收入情况预计如何？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公司预计2020年实现营业收入总额122.42亿元，利润总额为13.09亿元，已经考虑到汽车零部件业务有所下滑的情况。从整体来看，精机科技占公司归母净利润10%左右，对整个公司影响不会很大，航空军品业务目前销售收入已经达到了83.77个亿，订单非常充足，未来公司的净利润还将保持持续的上升；此外疫情对公司影响主要体现在生产节奏上，2020年一季度生产节奏由于疫情比去年有所延迟，公司正通过调整工作时间，加班加点进行弥补，对全年生产交付任务影响不会太大。</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2.公司股东机载作为“双百行动”企业以及集团公司推进混改，对公司有哪些影响？</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机载公司和集团公司作为改革的先锋，对公司进行治理、管理层激励、行政审批等方面都将起到促进作用，推动公司按照“双百行动”计划加强员工激励、优化公司治理结构等，使公司更加合规、合法、完善，调动积极性。</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3</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公司于1月20日完成回购股票，用途是什么？目前进展如何</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lang w:val="zh-TW"/>
                <w14:textFill>
                  <w14:solidFill>
                    <w14:schemeClr w14:val="tx1"/>
                  </w14:solidFill>
                </w14:textFill>
              </w:rPr>
              <w:t>公司回购的股票用途为股权激励或员工持股计划、</w:t>
            </w:r>
            <w:r>
              <w:rPr>
                <w:rFonts w:hint="eastAsia" w:hAnsi="宋体"/>
                <w:iCs/>
                <w:color w:val="000000" w:themeColor="text1"/>
                <w:sz w:val="24"/>
                <w:szCs w:val="24"/>
                <w14:textFill>
                  <w14:solidFill>
                    <w14:schemeClr w14:val="tx1"/>
                  </w14:solidFill>
                </w14:textFill>
              </w:rPr>
              <w:t>转换公司发行的可转换为股票的公司债券</w:t>
            </w:r>
            <w:r>
              <w:rPr>
                <w:rFonts w:hint="eastAsia" w:hAnsi="宋体"/>
                <w:iCs/>
                <w:color w:val="000000" w:themeColor="text1"/>
                <w:sz w:val="24"/>
                <w:szCs w:val="24"/>
                <w:lang w:val="zh-TW"/>
                <w14:textFill>
                  <w14:solidFill>
                    <w14:schemeClr w14:val="tx1"/>
                  </w14:solidFill>
                </w14:textFill>
              </w:rPr>
              <w:t>，公司也在认真进行这方面的研究，如公司实施股权激励或员工持股计划、</w:t>
            </w:r>
            <w:r>
              <w:rPr>
                <w:rFonts w:hint="eastAsia" w:hAnsi="宋体"/>
                <w:iCs/>
                <w:color w:val="000000" w:themeColor="text1"/>
                <w:sz w:val="24"/>
                <w:szCs w:val="24"/>
                <w14:textFill>
                  <w14:solidFill>
                    <w14:schemeClr w14:val="tx1"/>
                  </w14:solidFill>
                </w14:textFill>
              </w:rPr>
              <w:t>转换公司发行的可转换为股票的公司债券</w:t>
            </w:r>
            <w:r>
              <w:rPr>
                <w:rFonts w:hint="eastAsia" w:hAnsi="宋体"/>
                <w:iCs/>
                <w:color w:val="000000" w:themeColor="text1"/>
                <w:sz w:val="24"/>
                <w:szCs w:val="24"/>
                <w:lang w:val="zh-TW"/>
                <w14:textFill>
                  <w14:solidFill>
                    <w14:schemeClr w14:val="tx1"/>
                  </w14:solidFill>
                </w14:textFill>
              </w:rPr>
              <w:t>，将会及时进行公告。</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4.公司有C919配套产品，ARJ-21有无配套？业务体量如何？有无收入贡献？</w:t>
            </w:r>
          </w:p>
          <w:p>
            <w:pPr>
              <w:spacing w:line="480" w:lineRule="exact"/>
              <w:ind w:firstLine="480" w:firstLineChars="200"/>
              <w:jc w:val="left"/>
              <w:rPr>
                <w:rFonts w:hAnsi="宋体"/>
                <w:bCs/>
                <w:iCs/>
                <w:color w:val="000000" w:themeColor="text1"/>
                <w:sz w:val="24"/>
                <w:szCs w:val="24"/>
                <w:lang w:bidi="ar"/>
                <w14:textFill>
                  <w14:solidFill>
                    <w14:schemeClr w14:val="tx1"/>
                  </w14:solidFill>
                </w14:textFill>
              </w:rPr>
            </w:pPr>
            <w:r>
              <w:rPr>
                <w:rFonts w:hint="eastAsia" w:hAnsi="宋体"/>
                <w:bCs/>
                <w:iCs/>
                <w:color w:val="000000" w:themeColor="text1"/>
                <w:sz w:val="24"/>
                <w:szCs w:val="24"/>
                <w:lang w:bidi="ar"/>
                <w14:textFill>
                  <w14:solidFill>
                    <w14:schemeClr w14:val="tx1"/>
                  </w14:solidFill>
                </w14:textFill>
              </w:rPr>
              <w:t>公司在ARJ-21有产品配套，早期公司配套量较小，公司将积极</w:t>
            </w:r>
            <w:r>
              <w:rPr>
                <w:rFonts w:hint="eastAsia"/>
                <w:color w:val="000000"/>
                <w:sz w:val="24"/>
              </w:rPr>
              <w:t>争取ARJ21的系统升级和国产化替代业务，</w:t>
            </w:r>
            <w:r>
              <w:rPr>
                <w:rFonts w:hint="eastAsia" w:hAnsi="宋体"/>
                <w:bCs/>
                <w:iCs/>
                <w:color w:val="000000" w:themeColor="text1"/>
                <w:sz w:val="24"/>
                <w:szCs w:val="24"/>
                <w:lang w:bidi="ar"/>
                <w14:textFill>
                  <w14:solidFill>
                    <w14:schemeClr w14:val="tx1"/>
                  </w14:solidFill>
                </w14:textFill>
              </w:rPr>
              <w:t>未来可能会形成比较明显的收入。</w:t>
            </w:r>
          </w:p>
          <w:p>
            <w:pPr>
              <w:widowControl/>
              <w:spacing w:line="480" w:lineRule="exact"/>
              <w:ind w:firstLine="482" w:firstLineChars="200"/>
              <w:jc w:val="left"/>
              <w:rPr>
                <w:rFonts w:hAnsi="宋体"/>
                <w:b/>
                <w:bCs/>
                <w:iCs/>
                <w:color w:val="000000" w:themeColor="text1"/>
                <w:sz w:val="24"/>
                <w:szCs w:val="24"/>
                <w:lang w:val="zh-CN"/>
                <w14:textFill>
                  <w14:solidFill>
                    <w14:schemeClr w14:val="tx1"/>
                  </w14:solidFill>
                </w14:textFill>
              </w:rPr>
            </w:pPr>
            <w:r>
              <w:rPr>
                <w:rFonts w:hint="eastAsia" w:hAnsi="宋体"/>
                <w:b/>
                <w:bCs/>
                <w:iCs/>
                <w:color w:val="000000" w:themeColor="text1"/>
                <w:sz w:val="24"/>
                <w:szCs w:val="24"/>
                <w14:textFill>
                  <w14:solidFill>
                    <w14:schemeClr w14:val="tx1"/>
                  </w14:solidFill>
                </w14:textFill>
              </w:rPr>
              <w:t>5</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公司研发投入较大，是公司投入还是国家补贴？</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研发投入既有公司投入，也有国家补贴。</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6</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受</w:t>
            </w:r>
            <w:r>
              <w:rPr>
                <w:rFonts w:hint="eastAsia" w:hAnsi="宋体"/>
                <w:b/>
                <w:iCs/>
                <w:color w:val="000000" w:themeColor="text1"/>
                <w:sz w:val="24"/>
                <w:szCs w:val="24"/>
                <w14:textFill>
                  <w14:solidFill>
                    <w14:schemeClr w14:val="tx1"/>
                  </w14:solidFill>
                </w14:textFill>
              </w:rPr>
              <w:t>疫情影响，公司2020年一季度情况如何</w:t>
            </w:r>
            <w:r>
              <w:rPr>
                <w:rFonts w:hint="eastAsia" w:hAnsi="宋体"/>
                <w:b/>
                <w:bCs/>
                <w:iCs/>
                <w:color w:val="000000" w:themeColor="text1"/>
                <w:sz w:val="24"/>
                <w:szCs w:val="24"/>
                <w14:textFill>
                  <w14:solidFill>
                    <w14:schemeClr w14:val="tx1"/>
                  </w14:solidFill>
                </w14:textFill>
              </w:rPr>
              <w:t>？</w:t>
            </w:r>
          </w:p>
          <w:p>
            <w:pPr>
              <w:spacing w:line="480" w:lineRule="exact"/>
              <w:ind w:firstLine="480" w:firstLineChars="200"/>
              <w:jc w:val="left"/>
              <w:rPr>
                <w:rFonts w:hAnsi="宋体"/>
                <w:bCs/>
                <w:iCs/>
                <w:color w:val="000000" w:themeColor="text1"/>
                <w:sz w:val="24"/>
                <w:szCs w:val="24"/>
                <w:lang w:bidi="ar"/>
                <w14:textFill>
                  <w14:solidFill>
                    <w14:schemeClr w14:val="tx1"/>
                  </w14:solidFill>
                </w14:textFill>
              </w:rPr>
            </w:pPr>
            <w:r>
              <w:rPr>
                <w:rFonts w:hint="eastAsia" w:hAnsi="宋体"/>
                <w:bCs/>
                <w:iCs/>
                <w:color w:val="000000" w:themeColor="text1"/>
                <w:sz w:val="24"/>
                <w:szCs w:val="24"/>
                <w:lang w:bidi="ar"/>
                <w14:textFill>
                  <w14:solidFill>
                    <w14:schemeClr w14:val="tx1"/>
                  </w14:solidFill>
                </w14:textFill>
              </w:rPr>
              <w:t>根据目前了解到各子公司的情况来看，不会比市场预计的差。</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7</w:t>
            </w:r>
            <w:r>
              <w:rPr>
                <w:rFonts w:hint="eastAsia" w:hAnsi="宋体"/>
                <w:b/>
                <w:bCs/>
                <w:iCs/>
                <w:color w:val="000000" w:themeColor="text1"/>
                <w:sz w:val="24"/>
                <w:szCs w:val="24"/>
                <w:lang w:val="zh-TW"/>
                <w14:textFill>
                  <w14:solidFill>
                    <w14:schemeClr w14:val="tx1"/>
                  </w14:solidFill>
                </w14:textFill>
              </w:rPr>
              <w:t>.</w:t>
            </w:r>
            <w:r>
              <w:rPr>
                <w:rFonts w:hint="eastAsia" w:hAnsi="宋体"/>
                <w:b/>
                <w:iCs/>
                <w:color w:val="000000" w:themeColor="text1"/>
                <w:sz w:val="24"/>
                <w:szCs w:val="24"/>
                <w14:textFill>
                  <w14:solidFill>
                    <w14:schemeClr w14:val="tx1"/>
                  </w14:solidFill>
                </w14:textFill>
              </w:rPr>
              <w:t>公司产品主要配套哪些机型</w:t>
            </w:r>
            <w:r>
              <w:rPr>
                <w:rFonts w:hint="eastAsia" w:hAnsi="宋体"/>
                <w:b/>
                <w:bCs/>
                <w:iCs/>
                <w:color w:val="000000" w:themeColor="text1"/>
                <w:sz w:val="24"/>
                <w:szCs w:val="24"/>
                <w14:textFill>
                  <w14:solidFill>
                    <w14:schemeClr w14:val="tx1"/>
                  </w14:solidFill>
                </w14:textFill>
              </w:rPr>
              <w:t>？有无生产压力和扩充产能的想法？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bCs/>
                <w:iCs/>
                <w:color w:val="000000" w:themeColor="text1"/>
                <w:sz w:val="24"/>
                <w:szCs w:val="24"/>
                <w14:textFill>
                  <w14:solidFill>
                    <w14:schemeClr w14:val="tx1"/>
                  </w14:solidFill>
                </w14:textFill>
              </w:rPr>
              <w:t>目前所有国产的军机上均有公司研制生产的机电产品，不仅战斗机，还有无人机、运输机、教练机等等，所有机电系统几乎都是公司在做配套。产能是根据主机需求来定的，这种需求会因为技术的不断更新和提高而变化，未来的赛道很长，这也是公司投资价值所在，具有长期发展的动力。</w:t>
            </w:r>
          </w:p>
          <w:p>
            <w:pPr>
              <w:widowControl/>
              <w:spacing w:line="480" w:lineRule="exact"/>
              <w:ind w:firstLine="482" w:firstLineChars="200"/>
              <w:jc w:val="left"/>
              <w:rPr>
                <w:rFonts w:hAnsi="宋体"/>
                <w:b/>
                <w:bCs/>
                <w:iCs/>
                <w:color w:val="000000" w:themeColor="text1"/>
                <w:sz w:val="24"/>
                <w:szCs w:val="24"/>
                <w14:textFill>
                  <w14:solidFill>
                    <w14:schemeClr w14:val="tx1"/>
                  </w14:solidFill>
                </w14:textFill>
              </w:rPr>
            </w:pPr>
            <w:r>
              <w:rPr>
                <w:rFonts w:hint="eastAsia" w:hAnsi="宋体"/>
                <w:b/>
                <w:bCs/>
                <w:iCs/>
                <w:color w:val="000000" w:themeColor="text1"/>
                <w:sz w:val="24"/>
                <w:szCs w:val="24"/>
                <w14:textFill>
                  <w14:solidFill>
                    <w14:schemeClr w14:val="tx1"/>
                  </w14:solidFill>
                </w14:textFill>
              </w:rPr>
              <w:t>8</w:t>
            </w:r>
            <w:r>
              <w:rPr>
                <w:rFonts w:hint="eastAsia" w:hAnsi="宋体"/>
                <w:b/>
                <w:bCs/>
                <w:iCs/>
                <w:color w:val="000000" w:themeColor="text1"/>
                <w:sz w:val="24"/>
                <w:szCs w:val="24"/>
                <w:lang w:val="zh-TW"/>
                <w14:textFill>
                  <w14:solidFill>
                    <w14:schemeClr w14:val="tx1"/>
                  </w14:solidFill>
                </w14:textFill>
              </w:rPr>
              <w:t>.</w:t>
            </w:r>
            <w:r>
              <w:rPr>
                <w:rFonts w:hint="eastAsia" w:hAnsi="宋体"/>
                <w:b/>
                <w:bCs/>
                <w:iCs/>
                <w:color w:val="000000" w:themeColor="text1"/>
                <w:sz w:val="24"/>
                <w:szCs w:val="24"/>
                <w14:textFill>
                  <w14:solidFill>
                    <w14:schemeClr w14:val="tx1"/>
                  </w14:solidFill>
                </w14:textFill>
              </w:rPr>
              <w:t>在三个大体相当中，产品交付和维修备件大体相当，目前航空业务产品交付和维修备件比例如何？</w:t>
            </w:r>
          </w:p>
          <w:p>
            <w:pPr>
              <w:spacing w:line="480" w:lineRule="exact"/>
              <w:ind w:firstLine="480" w:firstLineChars="200"/>
              <w:jc w:val="left"/>
              <w:rPr>
                <w:rFonts w:hAnsi="宋体"/>
                <w:bCs/>
                <w:iCs/>
                <w:color w:val="000000" w:themeColor="text1"/>
                <w:sz w:val="24"/>
                <w:szCs w:val="24"/>
                <w14:textFill>
                  <w14:solidFill>
                    <w14:schemeClr w14:val="tx1"/>
                  </w14:solidFill>
                </w14:textFill>
              </w:rPr>
            </w:pPr>
            <w:r>
              <w:rPr>
                <w:rFonts w:hint="eastAsia" w:hAnsi="宋体"/>
                <w:iCs/>
                <w:color w:val="000000" w:themeColor="text1"/>
                <w:sz w:val="24"/>
                <w:szCs w:val="24"/>
                <w14:textFill>
                  <w14:solidFill>
                    <w14:schemeClr w14:val="tx1"/>
                  </w14:solidFill>
                </w14:textFill>
              </w:rPr>
              <w:t>目前来看，公司产品交付约占85%，维修备件约占15%。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附件清单（如有）</w:t>
            </w:r>
          </w:p>
        </w:tc>
        <w:tc>
          <w:tcPr>
            <w:tcW w:w="8080" w:type="dxa"/>
            <w:shd w:val="clear" w:color="auto" w:fill="auto"/>
          </w:tcPr>
          <w:p>
            <w:pPr>
              <w:spacing w:line="480" w:lineRule="atLeast"/>
              <w:rPr>
                <w:rFonts w:ascii="宋体" w:hAnsi="宋体"/>
                <w:bCs/>
                <w:iCs/>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8" w:type="dxa"/>
            <w:shd w:val="clear" w:color="auto" w:fill="auto"/>
            <w:vAlign w:val="center"/>
          </w:tcPr>
          <w:p>
            <w:pPr>
              <w:spacing w:line="480" w:lineRule="atLeast"/>
              <w:jc w:val="center"/>
              <w:rPr>
                <w:rFonts w:ascii="宋体" w:hAnsi="宋体"/>
                <w:b/>
                <w:bCs/>
                <w:iCs/>
                <w:color w:val="000000" w:themeColor="text1"/>
                <w:sz w:val="24"/>
                <w:szCs w:val="24"/>
                <w14:textFill>
                  <w14:solidFill>
                    <w14:schemeClr w14:val="tx1"/>
                  </w14:solidFill>
                </w14:textFill>
              </w:rPr>
            </w:pPr>
            <w:r>
              <w:rPr>
                <w:rFonts w:hint="eastAsia" w:ascii="宋体" w:hAnsi="宋体"/>
                <w:b/>
                <w:bCs/>
                <w:iCs/>
                <w:color w:val="000000" w:themeColor="text1"/>
                <w:sz w:val="24"/>
                <w:szCs w:val="24"/>
                <w14:textFill>
                  <w14:solidFill>
                    <w14:schemeClr w14:val="tx1"/>
                  </w14:solidFill>
                </w14:textFill>
              </w:rPr>
              <w:t>日期</w:t>
            </w:r>
          </w:p>
        </w:tc>
        <w:tc>
          <w:tcPr>
            <w:tcW w:w="8080" w:type="dxa"/>
            <w:shd w:val="clear" w:color="auto" w:fill="auto"/>
          </w:tcPr>
          <w:p>
            <w:pPr>
              <w:spacing w:line="480" w:lineRule="atLeast"/>
              <w:rPr>
                <w:bCs/>
                <w:iCs/>
                <w:color w:val="000000" w:themeColor="text1"/>
                <w:sz w:val="24"/>
                <w:szCs w:val="24"/>
                <w14:textFill>
                  <w14:solidFill>
                    <w14:schemeClr w14:val="tx1"/>
                  </w14:solidFill>
                </w14:textFill>
              </w:rPr>
            </w:pPr>
            <w:r>
              <w:rPr>
                <w:bCs/>
                <w:iCs/>
                <w:color w:val="000000" w:themeColor="text1"/>
                <w:sz w:val="24"/>
                <w:szCs w:val="24"/>
                <w14:textFill>
                  <w14:solidFill>
                    <w14:schemeClr w14:val="tx1"/>
                  </w14:solidFill>
                </w14:textFill>
              </w:rPr>
              <w:t>20</w:t>
            </w:r>
            <w:r>
              <w:rPr>
                <w:rFonts w:hint="eastAsia"/>
                <w:bCs/>
                <w:iCs/>
                <w:color w:val="000000" w:themeColor="text1"/>
                <w:sz w:val="24"/>
                <w:szCs w:val="24"/>
                <w14:textFill>
                  <w14:solidFill>
                    <w14:schemeClr w14:val="tx1"/>
                  </w14:solidFill>
                </w14:textFill>
              </w:rPr>
              <w:t>20</w:t>
            </w:r>
            <w:r>
              <w:rPr>
                <w:bCs/>
                <w:iCs/>
                <w:color w:val="000000" w:themeColor="text1"/>
                <w:sz w:val="24"/>
                <w:szCs w:val="24"/>
                <w14:textFill>
                  <w14:solidFill>
                    <w14:schemeClr w14:val="tx1"/>
                  </w14:solidFill>
                </w14:textFill>
              </w:rPr>
              <w:t>年</w:t>
            </w:r>
            <w:r>
              <w:rPr>
                <w:rFonts w:hint="eastAsia"/>
                <w:bCs/>
                <w:iCs/>
                <w:color w:val="000000" w:themeColor="text1"/>
                <w:sz w:val="24"/>
                <w:szCs w:val="24"/>
                <w14:textFill>
                  <w14:solidFill>
                    <w14:schemeClr w14:val="tx1"/>
                  </w14:solidFill>
                </w14:textFill>
              </w:rPr>
              <w:t>4</w:t>
            </w:r>
            <w:r>
              <w:rPr>
                <w:bCs/>
                <w:iCs/>
                <w:color w:val="000000" w:themeColor="text1"/>
                <w:sz w:val="24"/>
                <w:szCs w:val="24"/>
                <w14:textFill>
                  <w14:solidFill>
                    <w14:schemeClr w14:val="tx1"/>
                  </w14:solidFill>
                </w14:textFill>
              </w:rPr>
              <w:t>月</w:t>
            </w:r>
            <w:r>
              <w:rPr>
                <w:rFonts w:hint="eastAsia"/>
                <w:bCs/>
                <w:iCs/>
                <w:color w:val="000000" w:themeColor="text1"/>
                <w:sz w:val="24"/>
                <w:szCs w:val="24"/>
                <w14:textFill>
                  <w14:solidFill>
                    <w14:schemeClr w14:val="tx1"/>
                  </w14:solidFill>
                </w14:textFill>
              </w:rPr>
              <w:t>1</w:t>
            </w:r>
            <w:r>
              <w:rPr>
                <w:bCs/>
                <w:iCs/>
                <w:color w:val="000000" w:themeColor="text1"/>
                <w:sz w:val="24"/>
                <w:szCs w:val="24"/>
                <w14:textFill>
                  <w14:solidFill>
                    <w14:schemeClr w14:val="tx1"/>
                  </w14:solidFill>
                </w14:textFill>
              </w:rPr>
              <w:t>日</w:t>
            </w:r>
          </w:p>
        </w:tc>
      </w:tr>
    </w:tbl>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decorative"/>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CEFC4"/>
    <w:multiLevelType w:val="singleLevel"/>
    <w:tmpl w:val="C0ECEFC4"/>
    <w:lvl w:ilvl="0" w:tentative="0">
      <w:start w:val="1"/>
      <w:numFmt w:val="chineseCounting"/>
      <w:suff w:val="nothing"/>
      <w:lvlText w:val="第%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54"/>
    <w:rsid w:val="00005088"/>
    <w:rsid w:val="00007121"/>
    <w:rsid w:val="00012EE1"/>
    <w:rsid w:val="0001675E"/>
    <w:rsid w:val="000169A5"/>
    <w:rsid w:val="0004175E"/>
    <w:rsid w:val="000471B9"/>
    <w:rsid w:val="000527C8"/>
    <w:rsid w:val="000528DC"/>
    <w:rsid w:val="00052CB2"/>
    <w:rsid w:val="00060DFE"/>
    <w:rsid w:val="00074B73"/>
    <w:rsid w:val="0008794F"/>
    <w:rsid w:val="00090157"/>
    <w:rsid w:val="000A04DA"/>
    <w:rsid w:val="000A39D1"/>
    <w:rsid w:val="000A5A32"/>
    <w:rsid w:val="000B0BE4"/>
    <w:rsid w:val="000B16AB"/>
    <w:rsid w:val="000C01F1"/>
    <w:rsid w:val="000C0EA8"/>
    <w:rsid w:val="000C45D4"/>
    <w:rsid w:val="000D150A"/>
    <w:rsid w:val="000D179D"/>
    <w:rsid w:val="000D4C05"/>
    <w:rsid w:val="000D4C69"/>
    <w:rsid w:val="000E3156"/>
    <w:rsid w:val="000F0AB9"/>
    <w:rsid w:val="000F0B74"/>
    <w:rsid w:val="000F6479"/>
    <w:rsid w:val="000F64DA"/>
    <w:rsid w:val="000F678C"/>
    <w:rsid w:val="000F7347"/>
    <w:rsid w:val="000F7C8E"/>
    <w:rsid w:val="001011AA"/>
    <w:rsid w:val="001054D7"/>
    <w:rsid w:val="00107E4C"/>
    <w:rsid w:val="00110B10"/>
    <w:rsid w:val="0011470F"/>
    <w:rsid w:val="00117DFF"/>
    <w:rsid w:val="00120333"/>
    <w:rsid w:val="001256E4"/>
    <w:rsid w:val="00145853"/>
    <w:rsid w:val="00146053"/>
    <w:rsid w:val="00147C29"/>
    <w:rsid w:val="00147FC8"/>
    <w:rsid w:val="00156A45"/>
    <w:rsid w:val="0015797F"/>
    <w:rsid w:val="00167CFA"/>
    <w:rsid w:val="00183023"/>
    <w:rsid w:val="00183E3F"/>
    <w:rsid w:val="001853B1"/>
    <w:rsid w:val="0018590B"/>
    <w:rsid w:val="00192D61"/>
    <w:rsid w:val="001A3991"/>
    <w:rsid w:val="001A3A04"/>
    <w:rsid w:val="001A78DD"/>
    <w:rsid w:val="001B18D3"/>
    <w:rsid w:val="001B4CEF"/>
    <w:rsid w:val="001C0C55"/>
    <w:rsid w:val="001C1453"/>
    <w:rsid w:val="001C1831"/>
    <w:rsid w:val="001C49CA"/>
    <w:rsid w:val="001C6AF0"/>
    <w:rsid w:val="001D795B"/>
    <w:rsid w:val="001F67FF"/>
    <w:rsid w:val="002058E9"/>
    <w:rsid w:val="0021228D"/>
    <w:rsid w:val="00221407"/>
    <w:rsid w:val="00225902"/>
    <w:rsid w:val="002263E7"/>
    <w:rsid w:val="002315F7"/>
    <w:rsid w:val="00232EA2"/>
    <w:rsid w:val="00240BD7"/>
    <w:rsid w:val="0024131C"/>
    <w:rsid w:val="00243349"/>
    <w:rsid w:val="0024568C"/>
    <w:rsid w:val="0025030D"/>
    <w:rsid w:val="0025190F"/>
    <w:rsid w:val="00252201"/>
    <w:rsid w:val="00252B20"/>
    <w:rsid w:val="002604B3"/>
    <w:rsid w:val="002631FE"/>
    <w:rsid w:val="002632BD"/>
    <w:rsid w:val="00263715"/>
    <w:rsid w:val="002637C6"/>
    <w:rsid w:val="0026381D"/>
    <w:rsid w:val="00271D62"/>
    <w:rsid w:val="002776D8"/>
    <w:rsid w:val="0028042C"/>
    <w:rsid w:val="002819D6"/>
    <w:rsid w:val="00284DC5"/>
    <w:rsid w:val="00292614"/>
    <w:rsid w:val="00293720"/>
    <w:rsid w:val="0029406E"/>
    <w:rsid w:val="002A707C"/>
    <w:rsid w:val="002B11D7"/>
    <w:rsid w:val="002B13CF"/>
    <w:rsid w:val="002B39FA"/>
    <w:rsid w:val="002B5234"/>
    <w:rsid w:val="002B536A"/>
    <w:rsid w:val="002D41FB"/>
    <w:rsid w:val="002E45D3"/>
    <w:rsid w:val="002E6E90"/>
    <w:rsid w:val="002F0C67"/>
    <w:rsid w:val="002F4640"/>
    <w:rsid w:val="00305479"/>
    <w:rsid w:val="00306C40"/>
    <w:rsid w:val="00314D0B"/>
    <w:rsid w:val="00334B9D"/>
    <w:rsid w:val="00335B06"/>
    <w:rsid w:val="003363AE"/>
    <w:rsid w:val="00337637"/>
    <w:rsid w:val="00346330"/>
    <w:rsid w:val="00347637"/>
    <w:rsid w:val="00350176"/>
    <w:rsid w:val="0037335B"/>
    <w:rsid w:val="00376F98"/>
    <w:rsid w:val="0038033D"/>
    <w:rsid w:val="0038105E"/>
    <w:rsid w:val="003826FF"/>
    <w:rsid w:val="003857B9"/>
    <w:rsid w:val="00385E4C"/>
    <w:rsid w:val="00392AC9"/>
    <w:rsid w:val="003A124F"/>
    <w:rsid w:val="003A4755"/>
    <w:rsid w:val="003B146D"/>
    <w:rsid w:val="003B2194"/>
    <w:rsid w:val="003B3996"/>
    <w:rsid w:val="003B6D24"/>
    <w:rsid w:val="003E4094"/>
    <w:rsid w:val="003E63E0"/>
    <w:rsid w:val="003F19B6"/>
    <w:rsid w:val="003F46B0"/>
    <w:rsid w:val="003F7839"/>
    <w:rsid w:val="00404687"/>
    <w:rsid w:val="00407B0F"/>
    <w:rsid w:val="00407CDD"/>
    <w:rsid w:val="0041205C"/>
    <w:rsid w:val="00412E8C"/>
    <w:rsid w:val="004169F3"/>
    <w:rsid w:val="004310C4"/>
    <w:rsid w:val="00437BAD"/>
    <w:rsid w:val="00443CC8"/>
    <w:rsid w:val="00451D6A"/>
    <w:rsid w:val="00452511"/>
    <w:rsid w:val="00452A2C"/>
    <w:rsid w:val="00472C35"/>
    <w:rsid w:val="004730FE"/>
    <w:rsid w:val="00473393"/>
    <w:rsid w:val="004735B7"/>
    <w:rsid w:val="004767E5"/>
    <w:rsid w:val="00482E38"/>
    <w:rsid w:val="0048304F"/>
    <w:rsid w:val="0048534F"/>
    <w:rsid w:val="004864A4"/>
    <w:rsid w:val="004916D4"/>
    <w:rsid w:val="004926BD"/>
    <w:rsid w:val="004A055C"/>
    <w:rsid w:val="004B4346"/>
    <w:rsid w:val="004C058D"/>
    <w:rsid w:val="004C2ABA"/>
    <w:rsid w:val="004C475A"/>
    <w:rsid w:val="004C5053"/>
    <w:rsid w:val="004D05E2"/>
    <w:rsid w:val="004D2EDF"/>
    <w:rsid w:val="004D43F5"/>
    <w:rsid w:val="004D714B"/>
    <w:rsid w:val="004E09B0"/>
    <w:rsid w:val="004E171D"/>
    <w:rsid w:val="004E30E0"/>
    <w:rsid w:val="004E4C9A"/>
    <w:rsid w:val="004E662C"/>
    <w:rsid w:val="004F1C8B"/>
    <w:rsid w:val="004F48E1"/>
    <w:rsid w:val="004F4A47"/>
    <w:rsid w:val="005023AC"/>
    <w:rsid w:val="0050322F"/>
    <w:rsid w:val="00513C86"/>
    <w:rsid w:val="005140E4"/>
    <w:rsid w:val="0051737D"/>
    <w:rsid w:val="005251EA"/>
    <w:rsid w:val="00526CD8"/>
    <w:rsid w:val="005330AA"/>
    <w:rsid w:val="005375C2"/>
    <w:rsid w:val="00540554"/>
    <w:rsid w:val="0054108A"/>
    <w:rsid w:val="00542E17"/>
    <w:rsid w:val="00546954"/>
    <w:rsid w:val="0055434B"/>
    <w:rsid w:val="0055784A"/>
    <w:rsid w:val="00560D18"/>
    <w:rsid w:val="00573513"/>
    <w:rsid w:val="005761B7"/>
    <w:rsid w:val="0058058D"/>
    <w:rsid w:val="00582557"/>
    <w:rsid w:val="00587A32"/>
    <w:rsid w:val="005976EB"/>
    <w:rsid w:val="005A03EF"/>
    <w:rsid w:val="005B01A1"/>
    <w:rsid w:val="005B027B"/>
    <w:rsid w:val="005B2768"/>
    <w:rsid w:val="005B6CF5"/>
    <w:rsid w:val="005C195F"/>
    <w:rsid w:val="005C2304"/>
    <w:rsid w:val="005C2484"/>
    <w:rsid w:val="005C264B"/>
    <w:rsid w:val="005C2E98"/>
    <w:rsid w:val="005C3261"/>
    <w:rsid w:val="005C7B18"/>
    <w:rsid w:val="005C7C9C"/>
    <w:rsid w:val="005D25A4"/>
    <w:rsid w:val="005E6F54"/>
    <w:rsid w:val="005F2DBD"/>
    <w:rsid w:val="005F5734"/>
    <w:rsid w:val="005F63CF"/>
    <w:rsid w:val="006001E0"/>
    <w:rsid w:val="006002A2"/>
    <w:rsid w:val="00606289"/>
    <w:rsid w:val="00607658"/>
    <w:rsid w:val="00613CC5"/>
    <w:rsid w:val="00621552"/>
    <w:rsid w:val="00621D3B"/>
    <w:rsid w:val="00624E62"/>
    <w:rsid w:val="00633529"/>
    <w:rsid w:val="00634696"/>
    <w:rsid w:val="00647592"/>
    <w:rsid w:val="00660E04"/>
    <w:rsid w:val="00665805"/>
    <w:rsid w:val="0067611F"/>
    <w:rsid w:val="006827F8"/>
    <w:rsid w:val="00684660"/>
    <w:rsid w:val="006853A0"/>
    <w:rsid w:val="00686921"/>
    <w:rsid w:val="0068787F"/>
    <w:rsid w:val="00692814"/>
    <w:rsid w:val="00694660"/>
    <w:rsid w:val="0069621D"/>
    <w:rsid w:val="00697C6A"/>
    <w:rsid w:val="006A676E"/>
    <w:rsid w:val="006B1307"/>
    <w:rsid w:val="006B222E"/>
    <w:rsid w:val="006B6B40"/>
    <w:rsid w:val="006B73E0"/>
    <w:rsid w:val="006C1097"/>
    <w:rsid w:val="006C59FD"/>
    <w:rsid w:val="006D278B"/>
    <w:rsid w:val="006D3F98"/>
    <w:rsid w:val="006D4AFB"/>
    <w:rsid w:val="006E0B37"/>
    <w:rsid w:val="006E2621"/>
    <w:rsid w:val="006E2BDD"/>
    <w:rsid w:val="006E485F"/>
    <w:rsid w:val="006E6D78"/>
    <w:rsid w:val="006E7DDA"/>
    <w:rsid w:val="006F4074"/>
    <w:rsid w:val="00713D75"/>
    <w:rsid w:val="00715BDB"/>
    <w:rsid w:val="00727244"/>
    <w:rsid w:val="007313B4"/>
    <w:rsid w:val="00732EDE"/>
    <w:rsid w:val="007450FF"/>
    <w:rsid w:val="007460DC"/>
    <w:rsid w:val="00751F7D"/>
    <w:rsid w:val="007557B7"/>
    <w:rsid w:val="007615D5"/>
    <w:rsid w:val="0076735D"/>
    <w:rsid w:val="0076752B"/>
    <w:rsid w:val="00767CC9"/>
    <w:rsid w:val="00771443"/>
    <w:rsid w:val="00772972"/>
    <w:rsid w:val="00780CDF"/>
    <w:rsid w:val="0078145C"/>
    <w:rsid w:val="00781EA2"/>
    <w:rsid w:val="007827C9"/>
    <w:rsid w:val="00785FBC"/>
    <w:rsid w:val="00790488"/>
    <w:rsid w:val="0079517D"/>
    <w:rsid w:val="007A0BA5"/>
    <w:rsid w:val="007B5FC4"/>
    <w:rsid w:val="007B78C6"/>
    <w:rsid w:val="007C5717"/>
    <w:rsid w:val="007D014A"/>
    <w:rsid w:val="007D3E0F"/>
    <w:rsid w:val="007D5471"/>
    <w:rsid w:val="007F1DD0"/>
    <w:rsid w:val="00800B44"/>
    <w:rsid w:val="00802556"/>
    <w:rsid w:val="0080596D"/>
    <w:rsid w:val="00806EC4"/>
    <w:rsid w:val="00811614"/>
    <w:rsid w:val="0081256A"/>
    <w:rsid w:val="008151D6"/>
    <w:rsid w:val="008158E5"/>
    <w:rsid w:val="008158E8"/>
    <w:rsid w:val="00820A04"/>
    <w:rsid w:val="00823892"/>
    <w:rsid w:val="00823B70"/>
    <w:rsid w:val="0082454E"/>
    <w:rsid w:val="008252FF"/>
    <w:rsid w:val="0083340F"/>
    <w:rsid w:val="008345E9"/>
    <w:rsid w:val="00834B7D"/>
    <w:rsid w:val="008405DA"/>
    <w:rsid w:val="008466FE"/>
    <w:rsid w:val="00850D1B"/>
    <w:rsid w:val="0085769B"/>
    <w:rsid w:val="00860752"/>
    <w:rsid w:val="00862971"/>
    <w:rsid w:val="00862B16"/>
    <w:rsid w:val="00872BF3"/>
    <w:rsid w:val="00874F9C"/>
    <w:rsid w:val="00876D92"/>
    <w:rsid w:val="00877D00"/>
    <w:rsid w:val="0088785B"/>
    <w:rsid w:val="008915E0"/>
    <w:rsid w:val="00896F40"/>
    <w:rsid w:val="008A75C0"/>
    <w:rsid w:val="008B0DDA"/>
    <w:rsid w:val="008B73DF"/>
    <w:rsid w:val="008B7BC4"/>
    <w:rsid w:val="008C43B0"/>
    <w:rsid w:val="008C76BC"/>
    <w:rsid w:val="008D0672"/>
    <w:rsid w:val="008D2C36"/>
    <w:rsid w:val="008D3716"/>
    <w:rsid w:val="008D4FC4"/>
    <w:rsid w:val="008D6B05"/>
    <w:rsid w:val="008D716B"/>
    <w:rsid w:val="008D7B36"/>
    <w:rsid w:val="008E607A"/>
    <w:rsid w:val="008F14F2"/>
    <w:rsid w:val="008F2736"/>
    <w:rsid w:val="008F3AA4"/>
    <w:rsid w:val="00902A07"/>
    <w:rsid w:val="0090359A"/>
    <w:rsid w:val="00904624"/>
    <w:rsid w:val="00932B30"/>
    <w:rsid w:val="00933624"/>
    <w:rsid w:val="009342AC"/>
    <w:rsid w:val="00936492"/>
    <w:rsid w:val="009428BA"/>
    <w:rsid w:val="00943403"/>
    <w:rsid w:val="0094693D"/>
    <w:rsid w:val="0095126B"/>
    <w:rsid w:val="009534B8"/>
    <w:rsid w:val="00953767"/>
    <w:rsid w:val="00955DB1"/>
    <w:rsid w:val="00960057"/>
    <w:rsid w:val="009633CA"/>
    <w:rsid w:val="00963566"/>
    <w:rsid w:val="00963644"/>
    <w:rsid w:val="00963F5C"/>
    <w:rsid w:val="009664F6"/>
    <w:rsid w:val="00966819"/>
    <w:rsid w:val="0097097F"/>
    <w:rsid w:val="00973F7F"/>
    <w:rsid w:val="009840DA"/>
    <w:rsid w:val="00985E69"/>
    <w:rsid w:val="00990017"/>
    <w:rsid w:val="00997D8A"/>
    <w:rsid w:val="009A43D2"/>
    <w:rsid w:val="009D40AB"/>
    <w:rsid w:val="009E2C3B"/>
    <w:rsid w:val="009E7697"/>
    <w:rsid w:val="009F616B"/>
    <w:rsid w:val="00A0454F"/>
    <w:rsid w:val="00A13EB6"/>
    <w:rsid w:val="00A141B2"/>
    <w:rsid w:val="00A15C65"/>
    <w:rsid w:val="00A2145D"/>
    <w:rsid w:val="00A224B2"/>
    <w:rsid w:val="00A2254B"/>
    <w:rsid w:val="00A26084"/>
    <w:rsid w:val="00A2787E"/>
    <w:rsid w:val="00A308C4"/>
    <w:rsid w:val="00A33004"/>
    <w:rsid w:val="00A340EA"/>
    <w:rsid w:val="00A428B8"/>
    <w:rsid w:val="00A55103"/>
    <w:rsid w:val="00A619E7"/>
    <w:rsid w:val="00A6283E"/>
    <w:rsid w:val="00A62A1A"/>
    <w:rsid w:val="00A72E02"/>
    <w:rsid w:val="00A82041"/>
    <w:rsid w:val="00A824AA"/>
    <w:rsid w:val="00A90128"/>
    <w:rsid w:val="00A92EC4"/>
    <w:rsid w:val="00A946EE"/>
    <w:rsid w:val="00AA04B0"/>
    <w:rsid w:val="00AA14CF"/>
    <w:rsid w:val="00AB0954"/>
    <w:rsid w:val="00AC4A43"/>
    <w:rsid w:val="00AC4AA8"/>
    <w:rsid w:val="00AC4DA3"/>
    <w:rsid w:val="00AD1F5D"/>
    <w:rsid w:val="00AE4897"/>
    <w:rsid w:val="00AE4EF5"/>
    <w:rsid w:val="00AF0979"/>
    <w:rsid w:val="00AF1C83"/>
    <w:rsid w:val="00AF7A52"/>
    <w:rsid w:val="00B01D94"/>
    <w:rsid w:val="00B0642C"/>
    <w:rsid w:val="00B06EFC"/>
    <w:rsid w:val="00B121A5"/>
    <w:rsid w:val="00B16399"/>
    <w:rsid w:val="00B17007"/>
    <w:rsid w:val="00B25BFD"/>
    <w:rsid w:val="00B26D8E"/>
    <w:rsid w:val="00B33CC1"/>
    <w:rsid w:val="00B349A3"/>
    <w:rsid w:val="00B35515"/>
    <w:rsid w:val="00B365E4"/>
    <w:rsid w:val="00B37463"/>
    <w:rsid w:val="00B45828"/>
    <w:rsid w:val="00B47D23"/>
    <w:rsid w:val="00B47E2C"/>
    <w:rsid w:val="00B53FD2"/>
    <w:rsid w:val="00B5729D"/>
    <w:rsid w:val="00B6023C"/>
    <w:rsid w:val="00B61F90"/>
    <w:rsid w:val="00B62018"/>
    <w:rsid w:val="00B72C3D"/>
    <w:rsid w:val="00B74C9C"/>
    <w:rsid w:val="00B756F5"/>
    <w:rsid w:val="00B81FBD"/>
    <w:rsid w:val="00B82327"/>
    <w:rsid w:val="00B84193"/>
    <w:rsid w:val="00B93260"/>
    <w:rsid w:val="00B941EA"/>
    <w:rsid w:val="00BA6635"/>
    <w:rsid w:val="00BA6E6F"/>
    <w:rsid w:val="00BB0B6D"/>
    <w:rsid w:val="00BB0E8C"/>
    <w:rsid w:val="00BB3510"/>
    <w:rsid w:val="00BB4B27"/>
    <w:rsid w:val="00BB73E1"/>
    <w:rsid w:val="00BC12C8"/>
    <w:rsid w:val="00BC4AB7"/>
    <w:rsid w:val="00BC4AC9"/>
    <w:rsid w:val="00BC5BD1"/>
    <w:rsid w:val="00BC6C32"/>
    <w:rsid w:val="00BD273A"/>
    <w:rsid w:val="00BE1D32"/>
    <w:rsid w:val="00BF3AED"/>
    <w:rsid w:val="00BF689A"/>
    <w:rsid w:val="00C1590F"/>
    <w:rsid w:val="00C15914"/>
    <w:rsid w:val="00C21395"/>
    <w:rsid w:val="00C25A35"/>
    <w:rsid w:val="00C33704"/>
    <w:rsid w:val="00C35DED"/>
    <w:rsid w:val="00C42493"/>
    <w:rsid w:val="00C45040"/>
    <w:rsid w:val="00C47B1F"/>
    <w:rsid w:val="00C534CB"/>
    <w:rsid w:val="00C53E62"/>
    <w:rsid w:val="00C61362"/>
    <w:rsid w:val="00C616FA"/>
    <w:rsid w:val="00C72291"/>
    <w:rsid w:val="00C73EB2"/>
    <w:rsid w:val="00C756A3"/>
    <w:rsid w:val="00C771E0"/>
    <w:rsid w:val="00C837C6"/>
    <w:rsid w:val="00C84AED"/>
    <w:rsid w:val="00C86ECD"/>
    <w:rsid w:val="00C86FC0"/>
    <w:rsid w:val="00C9523F"/>
    <w:rsid w:val="00C95948"/>
    <w:rsid w:val="00CB2CC5"/>
    <w:rsid w:val="00CC0F4A"/>
    <w:rsid w:val="00CC7FCE"/>
    <w:rsid w:val="00CD13DD"/>
    <w:rsid w:val="00CD2972"/>
    <w:rsid w:val="00CD3F14"/>
    <w:rsid w:val="00CD4542"/>
    <w:rsid w:val="00CD798F"/>
    <w:rsid w:val="00CE2BCC"/>
    <w:rsid w:val="00CE712A"/>
    <w:rsid w:val="00CE776D"/>
    <w:rsid w:val="00CF2D5C"/>
    <w:rsid w:val="00CF4994"/>
    <w:rsid w:val="00CF5F35"/>
    <w:rsid w:val="00D012B9"/>
    <w:rsid w:val="00D0206C"/>
    <w:rsid w:val="00D057B7"/>
    <w:rsid w:val="00D168B3"/>
    <w:rsid w:val="00D209D6"/>
    <w:rsid w:val="00D43A32"/>
    <w:rsid w:val="00D4411B"/>
    <w:rsid w:val="00D4746A"/>
    <w:rsid w:val="00D50030"/>
    <w:rsid w:val="00D56525"/>
    <w:rsid w:val="00D63C69"/>
    <w:rsid w:val="00D70DC1"/>
    <w:rsid w:val="00D81D41"/>
    <w:rsid w:val="00D8748B"/>
    <w:rsid w:val="00D92C55"/>
    <w:rsid w:val="00D93EDF"/>
    <w:rsid w:val="00DA44BA"/>
    <w:rsid w:val="00DA7356"/>
    <w:rsid w:val="00DB13DB"/>
    <w:rsid w:val="00DB4F07"/>
    <w:rsid w:val="00DC378A"/>
    <w:rsid w:val="00DC3F77"/>
    <w:rsid w:val="00DC68AD"/>
    <w:rsid w:val="00DC7368"/>
    <w:rsid w:val="00DD0B95"/>
    <w:rsid w:val="00DD3094"/>
    <w:rsid w:val="00DE0BF6"/>
    <w:rsid w:val="00DE4300"/>
    <w:rsid w:val="00DE7FCF"/>
    <w:rsid w:val="00DF45E7"/>
    <w:rsid w:val="00E03BEA"/>
    <w:rsid w:val="00E05DC6"/>
    <w:rsid w:val="00E11CDD"/>
    <w:rsid w:val="00E14F27"/>
    <w:rsid w:val="00E15235"/>
    <w:rsid w:val="00E1698B"/>
    <w:rsid w:val="00E172CC"/>
    <w:rsid w:val="00E22A92"/>
    <w:rsid w:val="00E5730A"/>
    <w:rsid w:val="00E60197"/>
    <w:rsid w:val="00E61580"/>
    <w:rsid w:val="00E76190"/>
    <w:rsid w:val="00E8104D"/>
    <w:rsid w:val="00E931ED"/>
    <w:rsid w:val="00E964DD"/>
    <w:rsid w:val="00EA0D7F"/>
    <w:rsid w:val="00EA187A"/>
    <w:rsid w:val="00EA38BC"/>
    <w:rsid w:val="00EA5A4C"/>
    <w:rsid w:val="00EA7ADF"/>
    <w:rsid w:val="00EB02F1"/>
    <w:rsid w:val="00EC72DF"/>
    <w:rsid w:val="00ED03E2"/>
    <w:rsid w:val="00ED31A6"/>
    <w:rsid w:val="00ED5B50"/>
    <w:rsid w:val="00EF56C4"/>
    <w:rsid w:val="00EF64D2"/>
    <w:rsid w:val="00F01D55"/>
    <w:rsid w:val="00F03718"/>
    <w:rsid w:val="00F05066"/>
    <w:rsid w:val="00F068C4"/>
    <w:rsid w:val="00F11FA5"/>
    <w:rsid w:val="00F13C79"/>
    <w:rsid w:val="00F173E1"/>
    <w:rsid w:val="00F215FC"/>
    <w:rsid w:val="00F27F1D"/>
    <w:rsid w:val="00F35BFF"/>
    <w:rsid w:val="00F36007"/>
    <w:rsid w:val="00F44AE8"/>
    <w:rsid w:val="00F450F5"/>
    <w:rsid w:val="00F45E57"/>
    <w:rsid w:val="00F51CEE"/>
    <w:rsid w:val="00F64D32"/>
    <w:rsid w:val="00F835DB"/>
    <w:rsid w:val="00F85596"/>
    <w:rsid w:val="00F865C2"/>
    <w:rsid w:val="00F914CD"/>
    <w:rsid w:val="00F94BE7"/>
    <w:rsid w:val="00F96022"/>
    <w:rsid w:val="00F9684D"/>
    <w:rsid w:val="00FA2DF7"/>
    <w:rsid w:val="00FA39AD"/>
    <w:rsid w:val="00FA7B1A"/>
    <w:rsid w:val="00FC0F8A"/>
    <w:rsid w:val="00FC29BB"/>
    <w:rsid w:val="00FD2E2A"/>
    <w:rsid w:val="00FE1AF9"/>
    <w:rsid w:val="00FE39DF"/>
    <w:rsid w:val="00FE3D25"/>
    <w:rsid w:val="00FE4615"/>
    <w:rsid w:val="00FF09A4"/>
    <w:rsid w:val="014A1BE5"/>
    <w:rsid w:val="0205783F"/>
    <w:rsid w:val="04E247BA"/>
    <w:rsid w:val="08612B36"/>
    <w:rsid w:val="096634C4"/>
    <w:rsid w:val="0A286DF5"/>
    <w:rsid w:val="0CD70868"/>
    <w:rsid w:val="0D2C4A04"/>
    <w:rsid w:val="0FA53197"/>
    <w:rsid w:val="12050BA7"/>
    <w:rsid w:val="13422C2E"/>
    <w:rsid w:val="14B20926"/>
    <w:rsid w:val="14C07404"/>
    <w:rsid w:val="165B607C"/>
    <w:rsid w:val="1D8B6A01"/>
    <w:rsid w:val="213C7DB9"/>
    <w:rsid w:val="21A9674C"/>
    <w:rsid w:val="21E14D80"/>
    <w:rsid w:val="252159E5"/>
    <w:rsid w:val="25AE3EFA"/>
    <w:rsid w:val="2D343A8C"/>
    <w:rsid w:val="31143652"/>
    <w:rsid w:val="35EE7675"/>
    <w:rsid w:val="37A84285"/>
    <w:rsid w:val="38344C45"/>
    <w:rsid w:val="38D408DB"/>
    <w:rsid w:val="3B704094"/>
    <w:rsid w:val="3D9E2AC5"/>
    <w:rsid w:val="3DA45D76"/>
    <w:rsid w:val="3DB47402"/>
    <w:rsid w:val="3E1E3137"/>
    <w:rsid w:val="3EF64716"/>
    <w:rsid w:val="435231CD"/>
    <w:rsid w:val="453301B5"/>
    <w:rsid w:val="498E291C"/>
    <w:rsid w:val="49FC5BE8"/>
    <w:rsid w:val="4A065988"/>
    <w:rsid w:val="4B1E0E01"/>
    <w:rsid w:val="4D68053C"/>
    <w:rsid w:val="4EC248F1"/>
    <w:rsid w:val="510310BE"/>
    <w:rsid w:val="5125271A"/>
    <w:rsid w:val="51DA5E27"/>
    <w:rsid w:val="529C529B"/>
    <w:rsid w:val="52FB5D0E"/>
    <w:rsid w:val="545C3CF3"/>
    <w:rsid w:val="54F9306B"/>
    <w:rsid w:val="56AD449E"/>
    <w:rsid w:val="5BD93703"/>
    <w:rsid w:val="5E0176FC"/>
    <w:rsid w:val="61D035DB"/>
    <w:rsid w:val="63E879E4"/>
    <w:rsid w:val="67303B2E"/>
    <w:rsid w:val="69D812BA"/>
    <w:rsid w:val="6B854CF1"/>
    <w:rsid w:val="6D61375E"/>
    <w:rsid w:val="6F8F01D2"/>
    <w:rsid w:val="706D7D71"/>
    <w:rsid w:val="73933E6B"/>
    <w:rsid w:val="74BD105B"/>
    <w:rsid w:val="769A61C5"/>
    <w:rsid w:val="76CC03D9"/>
    <w:rsid w:val="76ED25B8"/>
    <w:rsid w:val="7810128F"/>
    <w:rsid w:val="78BE279A"/>
    <w:rsid w:val="78D904AA"/>
    <w:rsid w:val="7AEA388B"/>
    <w:rsid w:val="7B643073"/>
    <w:rsid w:val="7B7046EE"/>
    <w:rsid w:val="7BDB13BE"/>
    <w:rsid w:val="7C1D50BB"/>
    <w:rsid w:val="7C9D5016"/>
    <w:rsid w:val="7DE4307E"/>
    <w:rsid w:val="7E872B06"/>
    <w:rsid w:val="7EAF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字符"/>
    <w:basedOn w:val="7"/>
    <w:link w:val="4"/>
    <w:qFormat/>
    <w:uiPriority w:val="99"/>
    <w:rPr>
      <w:rFonts w:ascii="Times New Roman" w:hAnsi="Times New Roman" w:eastAsia="宋体" w:cs="Times New Roman"/>
      <w:sz w:val="18"/>
      <w:szCs w:val="18"/>
    </w:rPr>
  </w:style>
  <w:style w:type="character" w:customStyle="1" w:styleId="9">
    <w:name w:val="页脚 字符"/>
    <w:basedOn w:val="7"/>
    <w:link w:val="3"/>
    <w:qFormat/>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2">
    <w:name w:val="批注框文本 字符"/>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FAF93D-F45E-4A5C-9803-6E50E0617A69}">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407</Words>
  <Characters>2324</Characters>
  <Lines>19</Lines>
  <Paragraphs>5</Paragraphs>
  <TotalTime>48</TotalTime>
  <ScaleCrop>false</ScaleCrop>
  <LinksUpToDate>false</LinksUpToDate>
  <CharactersWithSpaces>2726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2020-02-20T07:41:00Z</dcterms:created>
  <dc:creator>avicpub</dc:creator>
  <cp:lastModifiedBy>张伟</cp:lastModifiedBy>
  <cp:lastPrinted>2020-02-20T07:21:00Z</cp:lastPrinted>
  <dcterms:modified xsi:type="dcterms:W3CDTF">2020-04-01T09:11:13Z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_DocHome">
    <vt:i4>-1890169205</vt:i4>
  </property>
</Properties>
</file>