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color w:val="000000"/>
          <w:sz w:val="24"/>
        </w:rPr>
      </w:pPr>
      <w:r>
        <w:rPr>
          <w:rFonts w:hint="eastAsia" w:ascii="宋体" w:hAnsi="宋体"/>
          <w:bCs/>
          <w:iCs/>
          <w:color w:val="000000"/>
          <w:sz w:val="24"/>
        </w:rPr>
        <w:t>证券代码：</w:t>
      </w:r>
      <w:r>
        <w:rPr>
          <w:rFonts w:hint="eastAsia" w:ascii="Arial" w:hAnsi="Arial" w:cs="Arial" w:eastAsiaTheme="minorEastAsia"/>
          <w:bCs/>
          <w:iCs/>
          <w:color w:val="000000"/>
          <w:sz w:val="24"/>
        </w:rPr>
        <w:t xml:space="preserve">300777    </w:t>
      </w:r>
      <w:r>
        <w:rPr>
          <w:rFonts w:hint="eastAsia" w:ascii="宋体" w:hAnsi="宋体"/>
          <w:bCs/>
          <w:iCs/>
          <w:color w:val="000000"/>
          <w:sz w:val="24"/>
        </w:rPr>
        <w:t xml:space="preserve">                              证券简称：中简科技</w:t>
      </w:r>
    </w:p>
    <w:p>
      <w:pPr>
        <w:spacing w:line="460" w:lineRule="exact"/>
        <w:jc w:val="center"/>
        <w:rPr>
          <w:rFonts w:ascii="楷体" w:hAnsi="楷体" w:eastAsia="楷体"/>
          <w:b/>
          <w:iCs/>
          <w:sz w:val="32"/>
          <w:szCs w:val="32"/>
        </w:rPr>
      </w:pPr>
      <w:r>
        <w:rPr>
          <w:rFonts w:hint="eastAsia" w:ascii="楷体" w:hAnsi="楷体" w:eastAsia="楷体"/>
          <w:b/>
          <w:iCs/>
          <w:sz w:val="32"/>
          <w:szCs w:val="32"/>
        </w:rPr>
        <w:t>中简科技股份有限公司投资者关系活动记录表</w:t>
      </w:r>
    </w:p>
    <w:p>
      <w:pPr>
        <w:spacing w:line="400" w:lineRule="exact"/>
        <w:rPr>
          <w:rFonts w:ascii="宋体" w:hAnsi="宋体"/>
          <w:bCs/>
          <w:iCs/>
          <w:color w:val="000000"/>
          <w:sz w:val="24"/>
        </w:rPr>
      </w:pPr>
      <w:r>
        <w:rPr>
          <w:rFonts w:hint="eastAsia" w:ascii="宋体" w:hAnsi="宋体"/>
          <w:bCs/>
          <w:iCs/>
          <w:color w:val="000000"/>
          <w:sz w:val="24"/>
        </w:rPr>
        <w:t xml:space="preserve">                                              编号： </w:t>
      </w:r>
      <w:r>
        <w:rPr>
          <w:rFonts w:ascii="Arial" w:hAnsi="Arial" w:cs="Arial" w:eastAsiaTheme="minorEastAsia"/>
          <w:bCs/>
          <w:iCs/>
          <w:color w:val="000000"/>
          <w:sz w:val="24"/>
        </w:rPr>
        <w:t>2020</w:t>
      </w:r>
      <w:r>
        <w:rPr>
          <w:rFonts w:hint="eastAsia" w:ascii="宋体" w:hAnsi="宋体"/>
          <w:bCs/>
          <w:iCs/>
          <w:color w:val="000000"/>
          <w:sz w:val="24"/>
        </w:rPr>
        <w:t>第</w:t>
      </w:r>
      <w:r>
        <w:rPr>
          <w:rFonts w:ascii="Arial" w:hAnsi="Arial" w:cs="Arial"/>
          <w:color w:val="333333"/>
          <w:sz w:val="24"/>
          <w:shd w:val="clear" w:color="auto" w:fill="FFFFFF"/>
        </w:rPr>
        <w:t>〔</w:t>
      </w:r>
      <w:r>
        <w:rPr>
          <w:rFonts w:hint="eastAsia" w:ascii="Arial" w:hAnsi="Arial" w:cs="Arial" w:eastAsiaTheme="minorEastAsia"/>
          <w:bCs/>
          <w:iCs/>
          <w:color w:val="000000"/>
          <w:sz w:val="24"/>
        </w:rPr>
        <w:t>00</w:t>
      </w:r>
      <w:r>
        <w:rPr>
          <w:rFonts w:ascii="Arial" w:hAnsi="Arial" w:cs="Arial" w:eastAsiaTheme="minorEastAsia"/>
          <w:bCs/>
          <w:iCs/>
          <w:color w:val="000000"/>
          <w:sz w:val="24"/>
        </w:rPr>
        <w:t>3</w:t>
      </w:r>
      <w:r>
        <w:rPr>
          <w:rFonts w:ascii="Arial" w:hAnsi="Arial" w:cs="Arial"/>
          <w:color w:val="333333"/>
          <w:sz w:val="24"/>
          <w:shd w:val="clear" w:color="auto" w:fill="FFFFFF"/>
        </w:rPr>
        <w:t>〕</w:t>
      </w:r>
      <w:r>
        <w:rPr>
          <w:rFonts w:hint="eastAsia" w:ascii="宋体" w:hAnsi="宋体"/>
          <w:bCs/>
          <w:iCs/>
          <w:color w:val="000000"/>
          <w:sz w:val="24"/>
        </w:rPr>
        <w:t>号</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楷体" w:hAnsi="楷体" w:eastAsia="楷体"/>
                <w:bCs/>
                <w:iCs/>
                <w:sz w:val="24"/>
              </w:rPr>
            </w:pPr>
            <w:r>
              <w:rPr>
                <w:rFonts w:hint="eastAsia" w:ascii="楷体" w:hAnsi="楷体" w:eastAsia="楷体"/>
                <w:bCs/>
                <w:iCs/>
                <w:sz w:val="24"/>
              </w:rPr>
              <w:t>投资者关系</w:t>
            </w:r>
          </w:p>
          <w:p>
            <w:pPr>
              <w:spacing w:line="460" w:lineRule="exact"/>
              <w:jc w:val="center"/>
              <w:rPr>
                <w:rFonts w:ascii="楷体" w:hAnsi="楷体" w:eastAsia="楷体"/>
                <w:bCs/>
                <w:iCs/>
                <w:sz w:val="24"/>
              </w:rPr>
            </w:pPr>
            <w:r>
              <w:rPr>
                <w:rFonts w:hint="eastAsia" w:ascii="楷体" w:hAnsi="楷体" w:eastAsia="楷体"/>
                <w:bCs/>
                <w:iCs/>
                <w:sz w:val="24"/>
              </w:rPr>
              <w:t>活动类别</w:t>
            </w:r>
          </w:p>
          <w:p>
            <w:pPr>
              <w:spacing w:line="460" w:lineRule="exact"/>
              <w:jc w:val="center"/>
              <w:rPr>
                <w:rFonts w:ascii="楷体" w:hAnsi="楷体" w:eastAsia="楷体"/>
                <w:bCs/>
                <w:iCs/>
                <w:sz w:val="24"/>
              </w:rPr>
            </w:pPr>
          </w:p>
        </w:tc>
        <w:tc>
          <w:tcPr>
            <w:tcW w:w="6614" w:type="dxa"/>
            <w:tcBorders>
              <w:top w:val="single" w:color="auto" w:sz="4" w:space="0"/>
              <w:left w:val="single" w:color="auto" w:sz="4" w:space="0"/>
              <w:bottom w:val="single" w:color="auto" w:sz="4" w:space="0"/>
              <w:right w:val="single" w:color="auto" w:sz="4" w:space="0"/>
            </w:tcBorders>
          </w:tcPr>
          <w:p>
            <w:pPr>
              <w:spacing w:line="460" w:lineRule="exact"/>
              <w:rPr>
                <w:rFonts w:ascii="楷体" w:hAnsi="楷体" w:eastAsia="楷体"/>
                <w:bCs/>
                <w:iCs/>
                <w:sz w:val="24"/>
              </w:rPr>
            </w:pPr>
            <w:r>
              <w:rPr>
                <w:rFonts w:hint="eastAsia" w:ascii="楷体" w:hAnsi="楷体" w:eastAsia="楷体"/>
                <w:bCs/>
                <w:iCs/>
                <w:sz w:val="24"/>
              </w:rPr>
              <w:t>□</w:t>
            </w:r>
            <w:r>
              <w:rPr>
                <w:rFonts w:hint="eastAsia" w:ascii="楷体" w:hAnsi="楷体" w:eastAsia="楷体"/>
                <w:sz w:val="24"/>
              </w:rPr>
              <w:t xml:space="preserve">特定对象调研       </w:t>
            </w:r>
            <w:r>
              <w:rPr>
                <w:rFonts w:ascii="Segoe UI Emoji" w:hAnsi="Segoe UI Emoji" w:eastAsia="楷体" w:cs="Segoe UI Emoji"/>
                <w:sz w:val="24"/>
              </w:rPr>
              <w:t>☑</w:t>
            </w:r>
            <w:r>
              <w:rPr>
                <w:rFonts w:hint="eastAsia" w:ascii="楷体" w:hAnsi="楷体" w:eastAsia="楷体"/>
                <w:sz w:val="24"/>
              </w:rPr>
              <w:t>分析师会议</w:t>
            </w:r>
          </w:p>
          <w:p>
            <w:pPr>
              <w:spacing w:line="460" w:lineRule="exact"/>
              <w:rPr>
                <w:rFonts w:ascii="楷体" w:hAnsi="楷体" w:eastAsia="楷体"/>
                <w:bCs/>
                <w:iCs/>
                <w:sz w:val="24"/>
              </w:rPr>
            </w:pPr>
            <w:r>
              <w:rPr>
                <w:rFonts w:hint="eastAsia" w:ascii="楷体" w:hAnsi="楷体" w:eastAsia="楷体"/>
                <w:bCs/>
                <w:iCs/>
                <w:sz w:val="24"/>
              </w:rPr>
              <w:t>□</w:t>
            </w:r>
            <w:r>
              <w:rPr>
                <w:rFonts w:hint="eastAsia" w:ascii="楷体" w:hAnsi="楷体" w:eastAsia="楷体"/>
                <w:sz w:val="24"/>
              </w:rPr>
              <w:t xml:space="preserve">媒体采访            </w:t>
            </w:r>
            <w:r>
              <w:rPr>
                <w:rFonts w:hint="eastAsia" w:ascii="楷体" w:hAnsi="楷体" w:eastAsia="楷体"/>
                <w:bCs/>
                <w:iCs/>
                <w:sz w:val="24"/>
              </w:rPr>
              <w:t>□</w:t>
            </w:r>
            <w:r>
              <w:rPr>
                <w:rFonts w:hint="eastAsia" w:ascii="楷体" w:hAnsi="楷体" w:eastAsia="楷体"/>
                <w:sz w:val="24"/>
              </w:rPr>
              <w:t>业绩说明会</w:t>
            </w:r>
          </w:p>
          <w:p>
            <w:pPr>
              <w:spacing w:line="460" w:lineRule="exact"/>
              <w:rPr>
                <w:rFonts w:ascii="楷体" w:hAnsi="楷体" w:eastAsia="楷体"/>
                <w:bCs/>
                <w:iCs/>
                <w:sz w:val="24"/>
              </w:rPr>
            </w:pPr>
            <w:r>
              <w:rPr>
                <w:rFonts w:hint="eastAsia" w:ascii="楷体" w:hAnsi="楷体" w:eastAsia="楷体"/>
                <w:bCs/>
                <w:iCs/>
                <w:sz w:val="24"/>
              </w:rPr>
              <w:t>□</w:t>
            </w:r>
            <w:r>
              <w:rPr>
                <w:rFonts w:hint="eastAsia" w:ascii="楷体" w:hAnsi="楷体" w:eastAsia="楷体"/>
                <w:sz w:val="24"/>
              </w:rPr>
              <w:t xml:space="preserve">新闻发布会          </w:t>
            </w:r>
            <w:r>
              <w:rPr>
                <w:rFonts w:hint="eastAsia" w:ascii="楷体" w:hAnsi="楷体" w:eastAsia="楷体"/>
                <w:bCs/>
                <w:iCs/>
                <w:sz w:val="24"/>
              </w:rPr>
              <w:t>□</w:t>
            </w:r>
            <w:r>
              <w:rPr>
                <w:rFonts w:hint="eastAsia" w:ascii="楷体" w:hAnsi="楷体" w:eastAsia="楷体"/>
                <w:sz w:val="24"/>
              </w:rPr>
              <w:t>路演活动</w:t>
            </w:r>
          </w:p>
          <w:p>
            <w:pPr>
              <w:tabs>
                <w:tab w:val="left" w:pos="3045"/>
                <w:tab w:val="center" w:pos="3199"/>
              </w:tabs>
              <w:spacing w:line="460" w:lineRule="exact"/>
              <w:rPr>
                <w:rFonts w:ascii="楷体" w:hAnsi="楷体" w:eastAsia="楷体"/>
                <w:bCs/>
                <w:iCs/>
                <w:sz w:val="24"/>
              </w:rPr>
            </w:pPr>
            <w:r>
              <w:rPr>
                <w:rFonts w:hint="eastAsia" w:ascii="楷体" w:hAnsi="楷体" w:eastAsia="楷体"/>
                <w:bCs/>
                <w:iCs/>
                <w:sz w:val="24"/>
              </w:rPr>
              <w:t>□</w:t>
            </w:r>
            <w:r>
              <w:rPr>
                <w:rFonts w:hint="eastAsia" w:ascii="楷体" w:hAnsi="楷体" w:eastAsia="楷体"/>
                <w:sz w:val="24"/>
              </w:rPr>
              <w:t>现场参观</w:t>
            </w:r>
            <w:r>
              <w:rPr>
                <w:rFonts w:hint="eastAsia" w:ascii="楷体" w:hAnsi="楷体" w:eastAsia="楷体"/>
                <w:bCs/>
                <w:iCs/>
                <w:sz w:val="24"/>
              </w:rPr>
              <w:tab/>
            </w:r>
          </w:p>
          <w:p>
            <w:pPr>
              <w:tabs>
                <w:tab w:val="center" w:pos="3199"/>
              </w:tabs>
              <w:spacing w:line="460" w:lineRule="exact"/>
              <w:rPr>
                <w:rFonts w:ascii="楷体" w:hAnsi="楷体" w:eastAsia="楷体"/>
                <w:bCs/>
                <w:iCs/>
                <w:sz w:val="24"/>
              </w:rPr>
            </w:pPr>
            <w:r>
              <w:rPr>
                <w:rFonts w:hint="eastAsia" w:ascii="楷体" w:hAnsi="楷体" w:eastAsia="楷体"/>
                <w:bCs/>
                <w:iCs/>
                <w:sz w:val="24"/>
              </w:rPr>
              <w:t>□</w:t>
            </w:r>
            <w:r>
              <w:rPr>
                <w:rFonts w:hint="eastAsia" w:ascii="楷体" w:hAnsi="楷体" w:eastAsia="楷体"/>
                <w:sz w:val="24"/>
              </w:rPr>
              <w:t>其他 （</w:t>
            </w:r>
            <w:r>
              <w:rPr>
                <w:rFonts w:hint="eastAsia" w:ascii="楷体" w:hAnsi="楷体" w:eastAsia="楷体"/>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楷体" w:hAnsi="楷体" w:eastAsia="楷体"/>
                <w:bCs/>
                <w:iCs/>
                <w:sz w:val="24"/>
              </w:rPr>
            </w:pPr>
            <w:r>
              <w:rPr>
                <w:rFonts w:hint="eastAsia" w:ascii="楷体" w:hAnsi="楷体" w:eastAsia="楷体"/>
                <w:bCs/>
                <w:iCs/>
                <w:sz w:val="24"/>
              </w:rPr>
              <w:t>参与单位名称</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楷体" w:hAnsi="楷体" w:eastAsia="楷体"/>
                <w:sz w:val="24"/>
              </w:rPr>
            </w:pPr>
            <w:r>
              <w:rPr>
                <w:rFonts w:hint="eastAsia" w:ascii="楷体" w:hAnsi="楷体" w:eastAsia="楷体"/>
                <w:sz w:val="24"/>
              </w:rPr>
              <w:t>招商仁和人寿保险、天风证券（资管）、上海牧毅资产管理有限公司、国都证券、广发证券（资管）、电科投资、望正资产、信诚基金、前海开源基金、格律资产、上海铭度资产、睿远基金、尚腾资本、中加基金、泓德基金、长城基金、招商证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时间</w:t>
            </w:r>
          </w:p>
        </w:tc>
        <w:tc>
          <w:tcPr>
            <w:tcW w:w="6614"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20</w:t>
            </w:r>
            <w:r>
              <w:rPr>
                <w:rFonts w:ascii="楷体" w:hAnsi="楷体" w:eastAsia="楷体"/>
                <w:bCs/>
                <w:iCs/>
                <w:sz w:val="24"/>
              </w:rPr>
              <w:t>20</w:t>
            </w:r>
            <w:r>
              <w:rPr>
                <w:rFonts w:hint="eastAsia" w:ascii="楷体" w:hAnsi="楷体" w:eastAsia="楷体"/>
                <w:bCs/>
                <w:iCs/>
                <w:sz w:val="24"/>
              </w:rPr>
              <w:t>年3月</w:t>
            </w:r>
            <w:r>
              <w:rPr>
                <w:rFonts w:hint="eastAsia" w:ascii="楷体" w:hAnsi="楷体" w:eastAsia="楷体"/>
                <w:bCs/>
                <w:iCs/>
                <w:sz w:val="24"/>
                <w:lang w:val="en-US" w:eastAsia="zh-CN"/>
              </w:rPr>
              <w:t>30</w:t>
            </w:r>
            <w:r>
              <w:rPr>
                <w:rFonts w:hint="eastAsia" w:ascii="楷体" w:hAnsi="楷体" w:eastAsia="楷体"/>
                <w:bCs/>
                <w:iCs/>
                <w:sz w:val="24"/>
              </w:rPr>
              <w:t xml:space="preserve">日 </w:t>
            </w:r>
            <w:r>
              <w:rPr>
                <w:rFonts w:ascii="楷体" w:hAnsi="楷体" w:eastAsia="楷体"/>
                <w:bCs/>
                <w:i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地点</w:t>
            </w:r>
          </w:p>
        </w:tc>
        <w:tc>
          <w:tcPr>
            <w:tcW w:w="6614"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楷体" w:hAnsi="楷体" w:eastAsia="楷体"/>
                <w:bCs/>
                <w:iCs/>
                <w:sz w:val="24"/>
              </w:rPr>
            </w:pPr>
            <w:r>
              <w:rPr>
                <w:rFonts w:hint="eastAsia" w:ascii="楷体" w:hAnsi="楷体" w:eastAsia="楷体"/>
                <w:bCs/>
                <w:iCs/>
                <w:sz w:val="24"/>
              </w:rPr>
              <w:t>公司接待</w:t>
            </w:r>
          </w:p>
          <w:p>
            <w:pPr>
              <w:spacing w:line="440" w:lineRule="exact"/>
              <w:jc w:val="center"/>
              <w:rPr>
                <w:rFonts w:ascii="楷体" w:hAnsi="楷体" w:eastAsia="楷体"/>
                <w:bCs/>
                <w:iCs/>
                <w:sz w:val="24"/>
              </w:rPr>
            </w:pPr>
            <w:r>
              <w:rPr>
                <w:rFonts w:hint="eastAsia" w:ascii="楷体" w:hAnsi="楷体" w:eastAsia="楷体"/>
                <w:bCs/>
                <w:iCs/>
                <w:sz w:val="24"/>
              </w:rPr>
              <w:t>人员姓名</w:t>
            </w:r>
          </w:p>
        </w:tc>
        <w:tc>
          <w:tcPr>
            <w:tcW w:w="6614"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董事长：杨永岗</w:t>
            </w:r>
          </w:p>
          <w:p>
            <w:pPr>
              <w:spacing w:line="440" w:lineRule="exact"/>
              <w:ind w:firstLine="480" w:firstLineChars="200"/>
              <w:rPr>
                <w:rFonts w:ascii="楷体" w:hAnsi="楷体" w:eastAsia="楷体"/>
                <w:bCs/>
                <w:iCs/>
                <w:sz w:val="24"/>
              </w:rPr>
            </w:pPr>
            <w:r>
              <w:rPr>
                <w:rFonts w:hint="eastAsia" w:ascii="楷体" w:hAnsi="楷体" w:eastAsia="楷体"/>
                <w:bCs/>
                <w:iCs/>
                <w:sz w:val="24"/>
              </w:rPr>
              <w:t xml:space="preserve">董秘：魏星 </w:t>
            </w:r>
            <w:r>
              <w:rPr>
                <w:rFonts w:ascii="楷体" w:hAnsi="楷体" w:eastAsia="楷体"/>
                <w:bCs/>
                <w:iCs/>
                <w:sz w:val="24"/>
              </w:rPr>
              <w:t xml:space="preserve">  </w:t>
            </w:r>
            <w:r>
              <w:rPr>
                <w:rFonts w:hint="eastAsia" w:ascii="楷体" w:hAnsi="楷体" w:eastAsia="楷体"/>
                <w:bCs/>
                <w:iCs/>
                <w:sz w:val="24"/>
              </w:rPr>
              <w:t>证代：李剑锋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ascii="楷体" w:hAnsi="楷体" w:eastAsia="楷体"/>
                <w:sz w:val="24"/>
              </w:rPr>
            </w:pPr>
            <w:r>
              <w:rPr>
                <w:rFonts w:hint="eastAsia" w:ascii="楷体" w:hAnsi="楷体" w:eastAsia="楷体"/>
                <w:sz w:val="24"/>
              </w:rPr>
              <w:t>投资者关系活动主要内容介绍</w:t>
            </w:r>
          </w:p>
          <w:p>
            <w:pPr>
              <w:overflowPunct w:val="0"/>
              <w:spacing w:line="440" w:lineRule="exact"/>
              <w:ind w:firstLine="480" w:firstLineChars="200"/>
              <w:rPr>
                <w:rFonts w:ascii="楷体" w:hAnsi="楷体" w:eastAsia="楷体"/>
                <w:sz w:val="24"/>
              </w:rPr>
            </w:pPr>
          </w:p>
        </w:tc>
        <w:tc>
          <w:tcPr>
            <w:tcW w:w="6614" w:type="dxa"/>
            <w:tcBorders>
              <w:top w:val="single" w:color="auto" w:sz="4" w:space="0"/>
              <w:left w:val="single" w:color="auto" w:sz="4" w:space="0"/>
              <w:bottom w:val="single" w:color="auto" w:sz="4" w:space="0"/>
              <w:right w:val="single" w:color="auto" w:sz="4" w:space="0"/>
            </w:tcBorders>
          </w:tcPr>
          <w:p>
            <w:pPr>
              <w:overflowPunct w:val="0"/>
              <w:spacing w:line="440" w:lineRule="exact"/>
              <w:ind w:firstLine="482" w:firstLineChars="200"/>
              <w:rPr>
                <w:rFonts w:ascii="楷体" w:hAnsi="楷体" w:eastAsia="楷体"/>
                <w:b/>
                <w:bCs/>
                <w:sz w:val="24"/>
              </w:rPr>
            </w:pPr>
            <w:r>
              <w:rPr>
                <w:rFonts w:hint="eastAsia" w:ascii="楷体" w:hAnsi="楷体" w:eastAsia="楷体"/>
                <w:b/>
                <w:bCs/>
                <w:sz w:val="24"/>
              </w:rPr>
              <w:t>1.公司自主牌号ZT7系列碳纤维产品与市面上的T700产品的区别和联系？</w:t>
            </w:r>
          </w:p>
          <w:p>
            <w:pPr>
              <w:overflowPunct w:val="0"/>
              <w:spacing w:line="440" w:lineRule="exact"/>
              <w:ind w:firstLine="480" w:firstLineChars="200"/>
              <w:rPr>
                <w:rFonts w:ascii="楷体" w:hAnsi="楷体" w:eastAsia="楷体"/>
                <w:sz w:val="24"/>
              </w:rPr>
            </w:pPr>
            <w:r>
              <w:rPr>
                <w:rFonts w:hint="eastAsia" w:ascii="楷体" w:hAnsi="楷体" w:eastAsia="楷体"/>
                <w:sz w:val="24"/>
              </w:rPr>
              <w:t>公司ZT7系列碳纤维产品比市面上T700的模量高，是根据用户要求逐渐从T700演变过来的、完全是通过应用牵引出来的产品，从这个侧面可以突出中简科技的技术实力，这是中简科技自己的定制化能力，对产品的研发定型，小批量供货的能力比较强。</w:t>
            </w:r>
          </w:p>
          <w:p>
            <w:pPr>
              <w:overflowPunct w:val="0"/>
              <w:spacing w:line="440" w:lineRule="exact"/>
              <w:ind w:firstLine="480" w:firstLineChars="200"/>
              <w:rPr>
                <w:rFonts w:ascii="楷体" w:hAnsi="楷体" w:eastAsia="楷体"/>
                <w:sz w:val="24"/>
              </w:rPr>
            </w:pPr>
            <w:r>
              <w:rPr>
                <w:rFonts w:hint="eastAsia" w:ascii="楷体" w:hAnsi="楷体" w:eastAsia="楷体"/>
                <w:sz w:val="24"/>
              </w:rPr>
              <w:t>后续研发的很多产品，都是根据用户的要求，有的跟市面上一样的，比如700、800，也有的指标不完全相同的、个性化的一些产品，有些个性化的产品也有一些小批量的应用。</w:t>
            </w:r>
          </w:p>
          <w:p>
            <w:pPr>
              <w:overflowPunct w:val="0"/>
              <w:spacing w:line="440" w:lineRule="exact"/>
              <w:ind w:firstLine="482" w:firstLineChars="200"/>
              <w:rPr>
                <w:rFonts w:ascii="楷体" w:hAnsi="楷体" w:eastAsia="楷体"/>
                <w:b/>
                <w:bCs/>
                <w:sz w:val="24"/>
              </w:rPr>
            </w:pPr>
            <w:r>
              <w:rPr>
                <w:rFonts w:hint="eastAsia" w:ascii="楷体" w:hAnsi="楷体" w:eastAsia="楷体"/>
                <w:b/>
                <w:bCs/>
                <w:sz w:val="24"/>
              </w:rPr>
              <w:t>2.公司产品市场的规划？公司前期没进入民品市场是否与公司产能有关?</w:t>
            </w:r>
          </w:p>
          <w:p>
            <w:pPr>
              <w:overflowPunct w:val="0"/>
              <w:spacing w:line="440" w:lineRule="exact"/>
              <w:ind w:firstLine="480" w:firstLineChars="200"/>
              <w:rPr>
                <w:rFonts w:ascii="楷体" w:hAnsi="楷体" w:eastAsia="楷体"/>
                <w:sz w:val="24"/>
              </w:rPr>
            </w:pPr>
            <w:r>
              <w:rPr>
                <w:rFonts w:hint="eastAsia" w:ascii="楷体" w:hAnsi="楷体" w:eastAsia="楷体"/>
                <w:sz w:val="24"/>
              </w:rPr>
              <w:t>公司前期产能受限，产能主要满足重点客户，航空、航天的为主。公司定位于对质量有要求的领域。公司将更多精力集中在新产品的开发，技术指标的提升及应用方提出了更高要求的、特殊的、高性能的一些品种。</w:t>
            </w:r>
          </w:p>
          <w:p>
            <w:pPr>
              <w:overflowPunct w:val="0"/>
              <w:spacing w:line="440" w:lineRule="exact"/>
              <w:ind w:firstLine="480" w:firstLineChars="200"/>
              <w:rPr>
                <w:rFonts w:ascii="楷体" w:hAnsi="楷体" w:eastAsia="楷体"/>
                <w:sz w:val="24"/>
              </w:rPr>
            </w:pPr>
            <w:r>
              <w:rPr>
                <w:rFonts w:hint="eastAsia" w:ascii="楷体" w:hAnsi="楷体" w:eastAsia="楷体"/>
                <w:sz w:val="24"/>
              </w:rPr>
              <w:t>前三四年，基于国内应用的实际状况，公司供货的突出矛盾不太强，随着近一两年应用的拓展，体现出了供货对公司的限制，今年公司正处于这个时间点，随着千吨线即将投产，解决我们在应用场景不断扩大的前提下，供货的问题，扩展供货范围，更高性能的纤维是一块儿，即包含一些最先进的产品指标，还有跟市面上不太一样的品种（不完全是T800，不完全是T1000、T1100)也有应用,还有同样是航空航天，有一些对指标的稳定性特别在意，对成本也特别在意，对此公司开发出了相对应用场景，成本比较合适的品种，有T800级别的也有ZT7系列的，在未来的几年有一些不小的扩展，从小量，到中量，到批量方式。</w:t>
            </w:r>
          </w:p>
          <w:p>
            <w:pPr>
              <w:overflowPunct w:val="0"/>
              <w:spacing w:line="440" w:lineRule="exact"/>
              <w:ind w:firstLine="480" w:firstLineChars="200"/>
              <w:rPr>
                <w:rFonts w:ascii="楷体" w:hAnsi="楷体" w:eastAsia="楷体"/>
                <w:sz w:val="24"/>
              </w:rPr>
            </w:pPr>
            <w:r>
              <w:rPr>
                <w:rFonts w:hint="eastAsia" w:ascii="楷体" w:hAnsi="楷体" w:eastAsia="楷体"/>
                <w:sz w:val="24"/>
              </w:rPr>
              <w:t>公司把握的原则是只要对质量要求就去做，质量要求不高就不做。此处基于两个理念：一是发挥自身特长，包括技术的积累、技术的稳定性，达标性比较好，第二，国内碳纤维行业需要蓬勃发展，不是中简科技一家发展起来就行了，公司愿意与同行一道，为了我国碳纤维行业的可持续发展贡献自己的力量。</w:t>
            </w:r>
          </w:p>
          <w:p>
            <w:pPr>
              <w:overflowPunct w:val="0"/>
              <w:spacing w:line="440" w:lineRule="exact"/>
              <w:ind w:firstLine="482" w:firstLineChars="200"/>
              <w:rPr>
                <w:rFonts w:ascii="楷体" w:hAnsi="楷体" w:eastAsia="楷体"/>
                <w:sz w:val="24"/>
              </w:rPr>
            </w:pPr>
            <w:r>
              <w:rPr>
                <w:rFonts w:hint="eastAsia" w:ascii="楷体" w:hAnsi="楷体" w:eastAsia="楷体"/>
                <w:b/>
                <w:bCs/>
                <w:sz w:val="24"/>
              </w:rPr>
              <w:t>3.干喷湿纺研制成功会对产品价格和整个市场有什么影响？市场上中高端小丝束的碳纤维价格比同行兄弟单位低，是因为规模效应还是管理因素？2019年度第一大客户需求下降情况和原因？</w:t>
            </w:r>
          </w:p>
          <w:p>
            <w:pPr>
              <w:overflowPunct w:val="0"/>
              <w:spacing w:line="440" w:lineRule="exact"/>
              <w:ind w:firstLine="480" w:firstLineChars="200"/>
              <w:rPr>
                <w:rFonts w:ascii="楷体" w:hAnsi="楷体" w:eastAsia="楷体"/>
                <w:sz w:val="24"/>
              </w:rPr>
            </w:pPr>
            <w:r>
              <w:rPr>
                <w:rFonts w:hint="eastAsia" w:ascii="楷体" w:hAnsi="楷体" w:eastAsia="楷体"/>
                <w:sz w:val="24"/>
              </w:rPr>
              <w:t>公司研发方面干喷湿纺和湿纺都有，但是产业化方面采用的湿纺。公司对标的目标是国外的一些厂家，对干喷湿纺和湿纺的技术都很掌握，两者对成本的影响，重要性的比例并没有大家想的那么大，纺丝在整个碳纤维的成本的占比，远远低于氧化碳化，所以它对整个碳纤维成本的影响远没有那么大。只要有良好的合格率，良好的稳定性，良好的管理，其实就能覆盖这个影响。这两种方法在相当的时间内还是各有所长。</w:t>
            </w:r>
          </w:p>
          <w:p>
            <w:pPr>
              <w:overflowPunct w:val="0"/>
              <w:spacing w:line="440" w:lineRule="exact"/>
              <w:ind w:firstLine="480" w:firstLineChars="200"/>
              <w:rPr>
                <w:rFonts w:ascii="楷体" w:hAnsi="楷体" w:eastAsia="楷体"/>
                <w:sz w:val="24"/>
              </w:rPr>
            </w:pPr>
            <w:r>
              <w:rPr>
                <w:rFonts w:hint="eastAsia" w:ascii="楷体" w:hAnsi="楷体" w:eastAsia="楷体"/>
                <w:sz w:val="24"/>
              </w:rPr>
              <w:t>公司是2011年供的货，但是同行T300的价格是09年就开始稳定化，定型化。09年有特殊历史原因，整个供货的稀缺性，所以同行定价比公司高。公司跟客户定价有特殊的约定，不再跟着变化调整，公司产品有个稳定的价格。批量后，公司产品价格仅仅降了5%，当时公司跟客户协商在相当时间内公司产品价格保持稳定，因为公司当年建设生产线和研发一直没有收入，当时的投入非常多，所以定价考虑到相当一段时间之内公司资本和研发投入较多，另外，还跟国外同产品比较。</w:t>
            </w:r>
          </w:p>
          <w:p>
            <w:pPr>
              <w:overflowPunct w:val="0"/>
              <w:spacing w:line="440" w:lineRule="exact"/>
              <w:ind w:firstLine="480" w:firstLineChars="200"/>
              <w:rPr>
                <w:rFonts w:ascii="楷体" w:hAnsi="楷体" w:eastAsia="楷体"/>
                <w:sz w:val="24"/>
              </w:rPr>
            </w:pPr>
            <w:r>
              <w:rPr>
                <w:rFonts w:hint="eastAsia" w:ascii="楷体" w:hAnsi="楷体" w:eastAsia="楷体"/>
                <w:sz w:val="24"/>
              </w:rPr>
              <w:t>公司2019年度第一大客户的需求表观下降的原因是合同履行时间和会计期间的不一致导致的。</w:t>
            </w:r>
          </w:p>
          <w:p>
            <w:pPr>
              <w:overflowPunct w:val="0"/>
              <w:spacing w:line="440" w:lineRule="exact"/>
              <w:ind w:firstLine="482" w:firstLineChars="200"/>
              <w:rPr>
                <w:rFonts w:ascii="楷体" w:hAnsi="楷体" w:eastAsia="楷体"/>
                <w:sz w:val="24"/>
              </w:rPr>
            </w:pPr>
            <w:r>
              <w:rPr>
                <w:rFonts w:hint="eastAsia" w:ascii="楷体" w:hAnsi="楷体" w:eastAsia="楷体"/>
                <w:b/>
                <w:bCs/>
                <w:sz w:val="24"/>
              </w:rPr>
              <w:t>4.千吨线产能的爬坡情况？</w:t>
            </w:r>
          </w:p>
          <w:p>
            <w:pPr>
              <w:overflowPunct w:val="0"/>
              <w:spacing w:line="440" w:lineRule="exact"/>
              <w:ind w:firstLine="480" w:firstLineChars="200"/>
              <w:rPr>
                <w:rFonts w:ascii="楷体" w:hAnsi="楷体" w:eastAsia="楷体"/>
                <w:sz w:val="24"/>
              </w:rPr>
            </w:pPr>
            <w:r>
              <w:rPr>
                <w:rFonts w:hint="eastAsia" w:ascii="楷体" w:hAnsi="楷体" w:eastAsia="楷体"/>
                <w:sz w:val="24"/>
              </w:rPr>
              <w:t>千吨线对应的产品应用市场是逐步释放的，产能是逐步增加的过程。</w:t>
            </w:r>
          </w:p>
          <w:p>
            <w:pPr>
              <w:overflowPunct w:val="0"/>
              <w:spacing w:line="440" w:lineRule="exact"/>
              <w:ind w:firstLine="482" w:firstLineChars="200"/>
              <w:rPr>
                <w:rFonts w:ascii="楷体" w:hAnsi="楷体" w:eastAsia="楷体"/>
                <w:b/>
                <w:bCs/>
                <w:sz w:val="24"/>
              </w:rPr>
            </w:pPr>
            <w:r>
              <w:rPr>
                <w:rFonts w:hint="eastAsia" w:ascii="楷体" w:hAnsi="楷体" w:eastAsia="楷体"/>
                <w:b/>
                <w:bCs/>
                <w:sz w:val="24"/>
              </w:rPr>
              <w:t>5.毛利率增加的原因？公司以后是继续做大T700，还是会有其他新的拓展？今年收入确认是否会收入加快，会不会给市场有个好的预期</w:t>
            </w:r>
            <w:r>
              <w:rPr>
                <w:rFonts w:ascii="楷体" w:hAnsi="楷体" w:eastAsia="楷体"/>
                <w:b/>
                <w:bCs/>
                <w:sz w:val="24"/>
              </w:rPr>
              <w:t>？</w:t>
            </w:r>
          </w:p>
          <w:p>
            <w:pPr>
              <w:overflowPunct w:val="0"/>
              <w:spacing w:line="440" w:lineRule="exact"/>
              <w:ind w:firstLine="480" w:firstLineChars="200"/>
              <w:rPr>
                <w:rFonts w:ascii="楷体" w:hAnsi="楷体" w:eastAsia="楷体"/>
                <w:sz w:val="24"/>
              </w:rPr>
            </w:pPr>
            <w:r>
              <w:rPr>
                <w:rFonts w:hint="eastAsia" w:ascii="楷体" w:hAnsi="楷体" w:eastAsia="楷体"/>
                <w:sz w:val="24"/>
              </w:rPr>
              <w:t>高毛利是行业高技术壁垒的体现，毛利率也反应了公司产品的独创性和附加值。因为航空航天应用领域对产品的可靠性要求比较高，所以碳纤维研发生产的趋势和方向跟民品是不一样的，不同的研发重点和技术要求，包括工艺，对民用的一些碳纤维厂家形成了天然的壁垒，导致了竞争起点比较高，造成了整体毛利率水平比较高。</w:t>
            </w:r>
          </w:p>
          <w:p>
            <w:pPr>
              <w:overflowPunct w:val="0"/>
              <w:spacing w:line="440" w:lineRule="exact"/>
              <w:ind w:firstLine="480" w:firstLineChars="200"/>
              <w:rPr>
                <w:rFonts w:ascii="楷体" w:hAnsi="楷体" w:eastAsia="楷体"/>
                <w:sz w:val="24"/>
              </w:rPr>
            </w:pPr>
            <w:r>
              <w:rPr>
                <w:rFonts w:hint="eastAsia" w:ascii="楷体" w:hAnsi="楷体" w:eastAsia="楷体"/>
                <w:sz w:val="24"/>
              </w:rPr>
              <w:t>刚才提到柔性化的特点，公司百吨线08年开始设计，09年调的时候，很多小批量，定制化的产品柔性搭配着，公司生产的ZT7系列产品达到了国际同类型纤维的水平，整个在航空航天产品中作为一个全新的材料起到了非常作用，是我们最终产品不可或缺的部分。其他产品也在做。中简的专长就是技术，优势是应用牵引。</w:t>
            </w:r>
          </w:p>
          <w:p>
            <w:pPr>
              <w:overflowPunct w:val="0"/>
              <w:spacing w:line="440" w:lineRule="exact"/>
              <w:ind w:firstLine="480" w:firstLineChars="200"/>
              <w:rPr>
                <w:rFonts w:ascii="楷体" w:hAnsi="楷体" w:eastAsia="楷体"/>
                <w:sz w:val="24"/>
              </w:rPr>
            </w:pPr>
            <w:r>
              <w:rPr>
                <w:rFonts w:hint="eastAsia" w:ascii="楷体" w:hAnsi="楷体" w:eastAsia="楷体"/>
                <w:sz w:val="24"/>
              </w:rPr>
              <w:t>毛利率增加主要原因是量的增加，此外与税率也有关系。</w:t>
            </w:r>
          </w:p>
          <w:p>
            <w:pPr>
              <w:overflowPunct w:val="0"/>
              <w:spacing w:line="440" w:lineRule="exact"/>
              <w:ind w:firstLine="482" w:firstLineChars="200"/>
              <w:rPr>
                <w:rFonts w:ascii="Helvetica" w:hAnsi="Helvetica" w:cs="宋体"/>
                <w:color w:val="393939"/>
                <w:kern w:val="0"/>
                <w:szCs w:val="21"/>
              </w:rPr>
            </w:pPr>
            <w:r>
              <w:rPr>
                <w:rFonts w:hint="eastAsia" w:ascii="楷体" w:hAnsi="楷体" w:eastAsia="楷体"/>
                <w:b/>
                <w:bCs/>
                <w:sz w:val="24"/>
              </w:rPr>
              <w:t>6.全年转固的节奏，全年的营运能力</w:t>
            </w:r>
            <w:r>
              <w:rPr>
                <w:rFonts w:ascii="楷体" w:hAnsi="楷体" w:eastAsia="楷体"/>
                <w:b/>
                <w:bCs/>
                <w:sz w:val="24"/>
              </w:rPr>
              <w:t>？</w:t>
            </w:r>
          </w:p>
          <w:p>
            <w:pPr>
              <w:overflowPunct w:val="0"/>
              <w:spacing w:line="440" w:lineRule="exact"/>
              <w:ind w:firstLine="480" w:firstLineChars="200"/>
              <w:rPr>
                <w:rFonts w:ascii="楷体" w:hAnsi="楷体" w:eastAsia="楷体"/>
                <w:sz w:val="24"/>
              </w:rPr>
            </w:pPr>
            <w:r>
              <w:rPr>
                <w:rFonts w:hint="eastAsia" w:ascii="楷体" w:hAnsi="楷体" w:eastAsia="楷体"/>
                <w:sz w:val="24"/>
              </w:rPr>
              <w:t>每个月的折旧约5</w:t>
            </w:r>
            <w:r>
              <w:rPr>
                <w:rFonts w:ascii="楷体" w:hAnsi="楷体" w:eastAsia="楷体"/>
                <w:sz w:val="24"/>
              </w:rPr>
              <w:t>00</w:t>
            </w:r>
            <w:r>
              <w:rPr>
                <w:rFonts w:hint="eastAsia" w:ascii="楷体" w:hAnsi="楷体" w:eastAsia="楷体"/>
                <w:sz w:val="24"/>
              </w:rPr>
              <w:t>万，公司全年运行比较</w:t>
            </w:r>
            <w:r>
              <w:rPr>
                <w:rFonts w:ascii="楷体" w:hAnsi="楷体" w:eastAsia="楷体"/>
                <w:sz w:val="24"/>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楷体" w:hAnsi="楷体" w:eastAsia="楷体"/>
                <w:bCs/>
                <w:iCs/>
                <w:sz w:val="24"/>
              </w:rPr>
            </w:pPr>
            <w:r>
              <w:rPr>
                <w:rFonts w:hint="eastAsia" w:ascii="楷体" w:hAnsi="楷体" w:eastAsia="楷体"/>
                <w:bCs/>
                <w:iCs/>
                <w:sz w:val="24"/>
              </w:rPr>
              <w:t>附件清单（如有）</w:t>
            </w:r>
          </w:p>
        </w:tc>
        <w:tc>
          <w:tcPr>
            <w:tcW w:w="6614"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rFonts w:ascii="楷体" w:hAnsi="楷体" w:eastAsia="楷体"/>
                <w:bCs/>
                <w:iCs/>
                <w:sz w:val="24"/>
              </w:rPr>
            </w:pPr>
            <w:r>
              <w:rPr>
                <w:rFonts w:hint="eastAsia" w:ascii="楷体" w:hAnsi="楷体" w:eastAsia="楷体"/>
                <w:bCs/>
                <w:iCs/>
                <w:sz w:val="24"/>
              </w:rPr>
              <w:t>日期</w:t>
            </w:r>
          </w:p>
        </w:tc>
        <w:tc>
          <w:tcPr>
            <w:tcW w:w="6614"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20</w:t>
            </w:r>
            <w:r>
              <w:rPr>
                <w:rFonts w:ascii="楷体" w:hAnsi="楷体" w:eastAsia="楷体"/>
                <w:bCs/>
                <w:iCs/>
                <w:sz w:val="24"/>
              </w:rPr>
              <w:t>20</w:t>
            </w:r>
            <w:r>
              <w:rPr>
                <w:rFonts w:hint="eastAsia" w:ascii="楷体" w:hAnsi="楷体" w:eastAsia="楷体"/>
                <w:bCs/>
                <w:iCs/>
                <w:sz w:val="24"/>
              </w:rPr>
              <w:t>年3月</w:t>
            </w:r>
            <w:r>
              <w:rPr>
                <w:rFonts w:hint="eastAsia" w:ascii="楷体" w:hAnsi="楷体" w:eastAsia="楷体"/>
                <w:bCs/>
                <w:iCs/>
                <w:sz w:val="24"/>
                <w:lang w:val="en-US" w:eastAsia="zh-CN"/>
              </w:rPr>
              <w:t>30</w:t>
            </w:r>
            <w:bookmarkStart w:id="0" w:name="_GoBack"/>
            <w:bookmarkEnd w:id="0"/>
            <w:r>
              <w:rPr>
                <w:rFonts w:hint="eastAsia" w:ascii="楷体" w:hAnsi="楷体" w:eastAsia="楷体"/>
                <w:bCs/>
                <w:iCs/>
                <w:sz w:val="24"/>
              </w:rPr>
              <w:t>日</w:t>
            </w:r>
          </w:p>
        </w:tc>
      </w:tr>
    </w:tbl>
    <w:p>
      <w:pPr>
        <w:spacing w:line="480" w:lineRule="atLeas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19"/>
    <w:rsid w:val="00041FAB"/>
    <w:rsid w:val="00056E65"/>
    <w:rsid w:val="00085E6C"/>
    <w:rsid w:val="00146BFE"/>
    <w:rsid w:val="0015418A"/>
    <w:rsid w:val="001A3080"/>
    <w:rsid w:val="00227663"/>
    <w:rsid w:val="00234297"/>
    <w:rsid w:val="002C553E"/>
    <w:rsid w:val="0031287E"/>
    <w:rsid w:val="003478F7"/>
    <w:rsid w:val="003A505A"/>
    <w:rsid w:val="003F1F16"/>
    <w:rsid w:val="00486699"/>
    <w:rsid w:val="004B6B5B"/>
    <w:rsid w:val="004C1433"/>
    <w:rsid w:val="004E636E"/>
    <w:rsid w:val="004E723C"/>
    <w:rsid w:val="00521FF8"/>
    <w:rsid w:val="005C762D"/>
    <w:rsid w:val="00655919"/>
    <w:rsid w:val="00717D8B"/>
    <w:rsid w:val="00790AB1"/>
    <w:rsid w:val="008069ED"/>
    <w:rsid w:val="0081018E"/>
    <w:rsid w:val="00816A3D"/>
    <w:rsid w:val="008462AE"/>
    <w:rsid w:val="008D5E2A"/>
    <w:rsid w:val="008E649F"/>
    <w:rsid w:val="00940F93"/>
    <w:rsid w:val="00974451"/>
    <w:rsid w:val="009B61BC"/>
    <w:rsid w:val="009E1D34"/>
    <w:rsid w:val="00A217B7"/>
    <w:rsid w:val="00A3123E"/>
    <w:rsid w:val="00AE3E53"/>
    <w:rsid w:val="00AF774D"/>
    <w:rsid w:val="00B44363"/>
    <w:rsid w:val="00B50216"/>
    <w:rsid w:val="00B5788E"/>
    <w:rsid w:val="00B9414D"/>
    <w:rsid w:val="00BB10D9"/>
    <w:rsid w:val="00C213FB"/>
    <w:rsid w:val="00C52612"/>
    <w:rsid w:val="00CB433E"/>
    <w:rsid w:val="00D22ACB"/>
    <w:rsid w:val="00D23C70"/>
    <w:rsid w:val="00F22230"/>
    <w:rsid w:val="00F84FA7"/>
    <w:rsid w:val="01297ACE"/>
    <w:rsid w:val="012B35BC"/>
    <w:rsid w:val="01A8680D"/>
    <w:rsid w:val="01B963D5"/>
    <w:rsid w:val="01CA5259"/>
    <w:rsid w:val="02076D7D"/>
    <w:rsid w:val="021248E5"/>
    <w:rsid w:val="02872706"/>
    <w:rsid w:val="02BC5031"/>
    <w:rsid w:val="04236994"/>
    <w:rsid w:val="046A0AC2"/>
    <w:rsid w:val="04BA422F"/>
    <w:rsid w:val="04D078D1"/>
    <w:rsid w:val="0558168B"/>
    <w:rsid w:val="05C23A19"/>
    <w:rsid w:val="06AF6B62"/>
    <w:rsid w:val="06BA742B"/>
    <w:rsid w:val="07256F50"/>
    <w:rsid w:val="07620A76"/>
    <w:rsid w:val="076C7F89"/>
    <w:rsid w:val="077624B5"/>
    <w:rsid w:val="07E65D31"/>
    <w:rsid w:val="08BF60CE"/>
    <w:rsid w:val="08C16E10"/>
    <w:rsid w:val="092B2D40"/>
    <w:rsid w:val="09343257"/>
    <w:rsid w:val="099602BE"/>
    <w:rsid w:val="0A267C65"/>
    <w:rsid w:val="0A48760D"/>
    <w:rsid w:val="0A6434C9"/>
    <w:rsid w:val="0A9F70DA"/>
    <w:rsid w:val="0B577D3E"/>
    <w:rsid w:val="0CD759B5"/>
    <w:rsid w:val="0D1934A7"/>
    <w:rsid w:val="0D3E5BF6"/>
    <w:rsid w:val="0D5A0D1D"/>
    <w:rsid w:val="0D74349D"/>
    <w:rsid w:val="0E646556"/>
    <w:rsid w:val="0EA13D3F"/>
    <w:rsid w:val="0EA56229"/>
    <w:rsid w:val="0EB06AB1"/>
    <w:rsid w:val="0EBD71C9"/>
    <w:rsid w:val="0F006AC8"/>
    <w:rsid w:val="0F2548EC"/>
    <w:rsid w:val="10960356"/>
    <w:rsid w:val="10D544E7"/>
    <w:rsid w:val="10DE2678"/>
    <w:rsid w:val="10E25443"/>
    <w:rsid w:val="111C30D5"/>
    <w:rsid w:val="11280A9E"/>
    <w:rsid w:val="1152568F"/>
    <w:rsid w:val="12505BE7"/>
    <w:rsid w:val="12CB074C"/>
    <w:rsid w:val="1390108C"/>
    <w:rsid w:val="13A64559"/>
    <w:rsid w:val="13B65403"/>
    <w:rsid w:val="13E157DB"/>
    <w:rsid w:val="144F2FBA"/>
    <w:rsid w:val="14C467E5"/>
    <w:rsid w:val="14F07F52"/>
    <w:rsid w:val="15C2505D"/>
    <w:rsid w:val="15EC155E"/>
    <w:rsid w:val="1611561C"/>
    <w:rsid w:val="16623258"/>
    <w:rsid w:val="16714BC2"/>
    <w:rsid w:val="167F4B8A"/>
    <w:rsid w:val="1707286C"/>
    <w:rsid w:val="173B5641"/>
    <w:rsid w:val="176830FF"/>
    <w:rsid w:val="17E66E44"/>
    <w:rsid w:val="18AC6F01"/>
    <w:rsid w:val="19751F37"/>
    <w:rsid w:val="1A766E63"/>
    <w:rsid w:val="1ABC348B"/>
    <w:rsid w:val="1B393518"/>
    <w:rsid w:val="1B9448E3"/>
    <w:rsid w:val="1BEF30D4"/>
    <w:rsid w:val="1C1116B7"/>
    <w:rsid w:val="1C6F0D0F"/>
    <w:rsid w:val="1D8934CD"/>
    <w:rsid w:val="1DA11E31"/>
    <w:rsid w:val="1DA53783"/>
    <w:rsid w:val="1DB1203D"/>
    <w:rsid w:val="1DCB730F"/>
    <w:rsid w:val="1DCD72BE"/>
    <w:rsid w:val="1DD33141"/>
    <w:rsid w:val="1E123679"/>
    <w:rsid w:val="1EB168FC"/>
    <w:rsid w:val="1F70361D"/>
    <w:rsid w:val="1FD776AF"/>
    <w:rsid w:val="209B7B86"/>
    <w:rsid w:val="21055E61"/>
    <w:rsid w:val="21132B33"/>
    <w:rsid w:val="212B08AC"/>
    <w:rsid w:val="216448EE"/>
    <w:rsid w:val="21910921"/>
    <w:rsid w:val="21A11F89"/>
    <w:rsid w:val="22260F52"/>
    <w:rsid w:val="2255727D"/>
    <w:rsid w:val="23781E15"/>
    <w:rsid w:val="237C4B3B"/>
    <w:rsid w:val="23C04AE3"/>
    <w:rsid w:val="242C3CBB"/>
    <w:rsid w:val="247F6AA8"/>
    <w:rsid w:val="247F74BE"/>
    <w:rsid w:val="250A3332"/>
    <w:rsid w:val="251B6E06"/>
    <w:rsid w:val="25206CA9"/>
    <w:rsid w:val="25461B68"/>
    <w:rsid w:val="25662822"/>
    <w:rsid w:val="25A6267A"/>
    <w:rsid w:val="261C6255"/>
    <w:rsid w:val="277D0D03"/>
    <w:rsid w:val="282F238B"/>
    <w:rsid w:val="28427599"/>
    <w:rsid w:val="28647191"/>
    <w:rsid w:val="28712844"/>
    <w:rsid w:val="289D5545"/>
    <w:rsid w:val="28C51EAA"/>
    <w:rsid w:val="2AB57A70"/>
    <w:rsid w:val="2AB83209"/>
    <w:rsid w:val="2B46435C"/>
    <w:rsid w:val="2B9333EE"/>
    <w:rsid w:val="2BAE20BF"/>
    <w:rsid w:val="2BEE068B"/>
    <w:rsid w:val="2BF45262"/>
    <w:rsid w:val="2DAA5F33"/>
    <w:rsid w:val="2DB04897"/>
    <w:rsid w:val="2E131108"/>
    <w:rsid w:val="2E4A2F78"/>
    <w:rsid w:val="2EA41718"/>
    <w:rsid w:val="2EF20BAE"/>
    <w:rsid w:val="2F337FD5"/>
    <w:rsid w:val="2F4103A2"/>
    <w:rsid w:val="2F4F06A3"/>
    <w:rsid w:val="2F5A328D"/>
    <w:rsid w:val="2FA83E0D"/>
    <w:rsid w:val="30866004"/>
    <w:rsid w:val="313449E4"/>
    <w:rsid w:val="31635CB7"/>
    <w:rsid w:val="318A6567"/>
    <w:rsid w:val="31CA1A2C"/>
    <w:rsid w:val="32621ABC"/>
    <w:rsid w:val="32F8328A"/>
    <w:rsid w:val="34034716"/>
    <w:rsid w:val="341E447A"/>
    <w:rsid w:val="342A18F4"/>
    <w:rsid w:val="34B03CFA"/>
    <w:rsid w:val="34D438CC"/>
    <w:rsid w:val="358A4E5A"/>
    <w:rsid w:val="36016FF8"/>
    <w:rsid w:val="361A7DAF"/>
    <w:rsid w:val="3638193B"/>
    <w:rsid w:val="3650122C"/>
    <w:rsid w:val="36912315"/>
    <w:rsid w:val="3739710E"/>
    <w:rsid w:val="37593EBC"/>
    <w:rsid w:val="37BB7DA1"/>
    <w:rsid w:val="37E539A4"/>
    <w:rsid w:val="38586623"/>
    <w:rsid w:val="38766E9C"/>
    <w:rsid w:val="3926246C"/>
    <w:rsid w:val="395B64C2"/>
    <w:rsid w:val="3AD70DBB"/>
    <w:rsid w:val="3B006955"/>
    <w:rsid w:val="3C0F7C7E"/>
    <w:rsid w:val="3C2B1FDB"/>
    <w:rsid w:val="3C91670C"/>
    <w:rsid w:val="3C957F0E"/>
    <w:rsid w:val="3CB64A3F"/>
    <w:rsid w:val="3D8254B2"/>
    <w:rsid w:val="3E141576"/>
    <w:rsid w:val="3E2B2433"/>
    <w:rsid w:val="3E404A21"/>
    <w:rsid w:val="3F282DB9"/>
    <w:rsid w:val="3F796443"/>
    <w:rsid w:val="3FC9165E"/>
    <w:rsid w:val="3FFC74C0"/>
    <w:rsid w:val="40797026"/>
    <w:rsid w:val="40B60248"/>
    <w:rsid w:val="41081F25"/>
    <w:rsid w:val="4149519A"/>
    <w:rsid w:val="418D09FE"/>
    <w:rsid w:val="41AA74D0"/>
    <w:rsid w:val="41F35716"/>
    <w:rsid w:val="42180A5C"/>
    <w:rsid w:val="421F392B"/>
    <w:rsid w:val="42556045"/>
    <w:rsid w:val="426272D4"/>
    <w:rsid w:val="42C17F1B"/>
    <w:rsid w:val="43755721"/>
    <w:rsid w:val="43AD516E"/>
    <w:rsid w:val="43F6643E"/>
    <w:rsid w:val="45436FBB"/>
    <w:rsid w:val="47C6709C"/>
    <w:rsid w:val="48275BEC"/>
    <w:rsid w:val="48761A3C"/>
    <w:rsid w:val="49092906"/>
    <w:rsid w:val="490A3519"/>
    <w:rsid w:val="490E61E9"/>
    <w:rsid w:val="499101CE"/>
    <w:rsid w:val="49EF4CEC"/>
    <w:rsid w:val="4B0052D1"/>
    <w:rsid w:val="4D1C6D0A"/>
    <w:rsid w:val="4E370AE6"/>
    <w:rsid w:val="4E3B5237"/>
    <w:rsid w:val="4F18111D"/>
    <w:rsid w:val="4F2A43EC"/>
    <w:rsid w:val="4F931EB0"/>
    <w:rsid w:val="4FAA0D6D"/>
    <w:rsid w:val="4FEB1BF7"/>
    <w:rsid w:val="4FF90190"/>
    <w:rsid w:val="4FFB123C"/>
    <w:rsid w:val="507B00F4"/>
    <w:rsid w:val="50C25C02"/>
    <w:rsid w:val="51DC6503"/>
    <w:rsid w:val="52103C17"/>
    <w:rsid w:val="535B1E41"/>
    <w:rsid w:val="5376694F"/>
    <w:rsid w:val="53B96992"/>
    <w:rsid w:val="53E968EB"/>
    <w:rsid w:val="540277CD"/>
    <w:rsid w:val="54457272"/>
    <w:rsid w:val="55060B3C"/>
    <w:rsid w:val="55093A45"/>
    <w:rsid w:val="555E14F3"/>
    <w:rsid w:val="56271399"/>
    <w:rsid w:val="563305D7"/>
    <w:rsid w:val="56351C7A"/>
    <w:rsid w:val="5652579B"/>
    <w:rsid w:val="56AE1C9F"/>
    <w:rsid w:val="56EA4F4E"/>
    <w:rsid w:val="57290030"/>
    <w:rsid w:val="57546DB2"/>
    <w:rsid w:val="58BC2BC7"/>
    <w:rsid w:val="59D8242B"/>
    <w:rsid w:val="59E7174D"/>
    <w:rsid w:val="5A0F4742"/>
    <w:rsid w:val="5A5F712C"/>
    <w:rsid w:val="5AD11A9D"/>
    <w:rsid w:val="5B787F83"/>
    <w:rsid w:val="5BD47CFB"/>
    <w:rsid w:val="5BE76E96"/>
    <w:rsid w:val="5DFC012C"/>
    <w:rsid w:val="5E1726D0"/>
    <w:rsid w:val="5E273B86"/>
    <w:rsid w:val="5E6756C9"/>
    <w:rsid w:val="5EC535B6"/>
    <w:rsid w:val="5F85487D"/>
    <w:rsid w:val="605D4BF9"/>
    <w:rsid w:val="60C64E57"/>
    <w:rsid w:val="60C849E5"/>
    <w:rsid w:val="61724512"/>
    <w:rsid w:val="63387B04"/>
    <w:rsid w:val="638E792F"/>
    <w:rsid w:val="63B41AAF"/>
    <w:rsid w:val="64404706"/>
    <w:rsid w:val="6479558F"/>
    <w:rsid w:val="64797D32"/>
    <w:rsid w:val="64ED225D"/>
    <w:rsid w:val="6501028B"/>
    <w:rsid w:val="6537771E"/>
    <w:rsid w:val="659D1634"/>
    <w:rsid w:val="65EA33EF"/>
    <w:rsid w:val="66EE4646"/>
    <w:rsid w:val="670B6EBE"/>
    <w:rsid w:val="670C2A0B"/>
    <w:rsid w:val="67DF1C43"/>
    <w:rsid w:val="68893F48"/>
    <w:rsid w:val="688A559A"/>
    <w:rsid w:val="689B42C4"/>
    <w:rsid w:val="68C31A19"/>
    <w:rsid w:val="695D1AA8"/>
    <w:rsid w:val="698D31D3"/>
    <w:rsid w:val="69DE2264"/>
    <w:rsid w:val="6A137EB1"/>
    <w:rsid w:val="6A3800C4"/>
    <w:rsid w:val="6A395623"/>
    <w:rsid w:val="6A597681"/>
    <w:rsid w:val="6A6B1864"/>
    <w:rsid w:val="6A9502D6"/>
    <w:rsid w:val="6AB7767F"/>
    <w:rsid w:val="6AC00985"/>
    <w:rsid w:val="6AC01BB6"/>
    <w:rsid w:val="6AF96A47"/>
    <w:rsid w:val="6B081F41"/>
    <w:rsid w:val="6B150D0A"/>
    <w:rsid w:val="6BC41853"/>
    <w:rsid w:val="6BC7199D"/>
    <w:rsid w:val="6C3805C4"/>
    <w:rsid w:val="6C3A380E"/>
    <w:rsid w:val="6C5D5A00"/>
    <w:rsid w:val="6C9A2E1A"/>
    <w:rsid w:val="6D6727AC"/>
    <w:rsid w:val="6DB95ECF"/>
    <w:rsid w:val="6DF80017"/>
    <w:rsid w:val="6F006CAD"/>
    <w:rsid w:val="6F5E3F5D"/>
    <w:rsid w:val="6F7824FD"/>
    <w:rsid w:val="6F792AE8"/>
    <w:rsid w:val="6FB4731A"/>
    <w:rsid w:val="6FC12A84"/>
    <w:rsid w:val="6FF519A2"/>
    <w:rsid w:val="701C71A3"/>
    <w:rsid w:val="705E59BA"/>
    <w:rsid w:val="70CE7625"/>
    <w:rsid w:val="71787750"/>
    <w:rsid w:val="720C4D1E"/>
    <w:rsid w:val="729F778F"/>
    <w:rsid w:val="72D10903"/>
    <w:rsid w:val="734270A8"/>
    <w:rsid w:val="73497E32"/>
    <w:rsid w:val="73977AAC"/>
    <w:rsid w:val="739E1B06"/>
    <w:rsid w:val="74210673"/>
    <w:rsid w:val="746E2033"/>
    <w:rsid w:val="748B6AF1"/>
    <w:rsid w:val="74D22A34"/>
    <w:rsid w:val="751944DE"/>
    <w:rsid w:val="752030C4"/>
    <w:rsid w:val="754B732D"/>
    <w:rsid w:val="755A41F5"/>
    <w:rsid w:val="759570CC"/>
    <w:rsid w:val="75AD5CDB"/>
    <w:rsid w:val="764270E6"/>
    <w:rsid w:val="765D2E28"/>
    <w:rsid w:val="76676F02"/>
    <w:rsid w:val="76852106"/>
    <w:rsid w:val="76F02068"/>
    <w:rsid w:val="76FA22D8"/>
    <w:rsid w:val="77C91AD5"/>
    <w:rsid w:val="77F50568"/>
    <w:rsid w:val="77FC5A03"/>
    <w:rsid w:val="787E57C9"/>
    <w:rsid w:val="78AD1C19"/>
    <w:rsid w:val="78AE0041"/>
    <w:rsid w:val="78F92322"/>
    <w:rsid w:val="78FD1E25"/>
    <w:rsid w:val="79253FE0"/>
    <w:rsid w:val="79862432"/>
    <w:rsid w:val="79994F23"/>
    <w:rsid w:val="79FA7641"/>
    <w:rsid w:val="7A3E33FA"/>
    <w:rsid w:val="7A3F04A8"/>
    <w:rsid w:val="7A8850F6"/>
    <w:rsid w:val="7B5459EF"/>
    <w:rsid w:val="7BCD64B5"/>
    <w:rsid w:val="7D0058BA"/>
    <w:rsid w:val="7D1A2720"/>
    <w:rsid w:val="7D4D3154"/>
    <w:rsid w:val="7E001846"/>
    <w:rsid w:val="7EFD4461"/>
    <w:rsid w:val="7F444988"/>
    <w:rsid w:val="7F722C55"/>
    <w:rsid w:val="7F9C681B"/>
    <w:rsid w:val="7FA57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kern w:val="2"/>
      <w:sz w:val="18"/>
      <w:szCs w:val="18"/>
    </w:rPr>
  </w:style>
  <w:style w:type="character" w:customStyle="1" w:styleId="8">
    <w:name w:val="页脚 字符"/>
    <w:basedOn w:val="6"/>
    <w:link w:val="3"/>
    <w:qFormat/>
    <w:uiPriority w:val="0"/>
    <w:rPr>
      <w:rFonts w:ascii="Times New Roman" w:hAnsi="Times New Roman"/>
      <w:kern w:val="2"/>
      <w:sz w:val="18"/>
      <w:szCs w:val="18"/>
    </w:rPr>
  </w:style>
  <w:style w:type="paragraph" w:styleId="9">
    <w:name w:val="List Paragraph"/>
    <w:basedOn w:val="1"/>
    <w:qFormat/>
    <w:uiPriority w:val="99"/>
    <w:pPr>
      <w:ind w:firstLine="420" w:firstLineChars="200"/>
    </w:pPr>
  </w:style>
  <w:style w:type="character" w:customStyle="1" w:styleId="10">
    <w:name w:val="批注框文本 字符"/>
    <w:basedOn w:val="6"/>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338</Words>
  <Characters>1929</Characters>
  <Lines>16</Lines>
  <Paragraphs>4</Paragraphs>
  <TotalTime>22</TotalTime>
  <ScaleCrop>false</ScaleCrop>
  <LinksUpToDate>false</LinksUpToDate>
  <CharactersWithSpaces>2263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2020-04-01T07:40:00Z</dcterms:created>
  <dc:creator>admin</dc:creator>
  <cp:lastModifiedBy>dell</cp:lastModifiedBy>
  <dcterms:modified xsi:type="dcterms:W3CDTF">2020-04-02T02:45:39Z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